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Pr="00CC28D3" w:rsidRDefault="00632962" w:rsidP="00632962">
      <w:pPr>
        <w:jc w:val="center"/>
        <w:rPr>
          <w:rFonts w:ascii="Times New Roman" w:hAnsi="Times New Roman"/>
          <w:sz w:val="24"/>
          <w:szCs w:val="22"/>
        </w:rPr>
      </w:pPr>
      <w:r w:rsidRPr="00CC28D3">
        <w:rPr>
          <w:rFonts w:ascii="Times New Roman" w:hAnsi="Times New Roman"/>
          <w:sz w:val="24"/>
        </w:rPr>
        <w:t>SK</w:t>
      </w:r>
    </w:p>
    <w:p w14:paraId="2A25A977" w14:textId="77777777" w:rsidR="00074AC8" w:rsidRPr="00CC28D3" w:rsidRDefault="00074AC8" w:rsidP="00632962">
      <w:pPr>
        <w:rPr>
          <w:rFonts w:ascii="Times New Roman" w:hAnsi="Times New Roman"/>
          <w:sz w:val="24"/>
        </w:rPr>
      </w:pPr>
    </w:p>
    <w:p w14:paraId="01E2F594" w14:textId="77777777" w:rsidR="00074AC8" w:rsidRPr="00CC28D3" w:rsidRDefault="00074AC8" w:rsidP="00074AC8">
      <w:pPr>
        <w:jc w:val="center"/>
        <w:rPr>
          <w:rFonts w:ascii="Times New Roman" w:hAnsi="Times New Roman"/>
          <w:sz w:val="24"/>
        </w:rPr>
      </w:pPr>
      <w:r w:rsidRPr="00CC28D3">
        <w:rPr>
          <w:rFonts w:ascii="Times New Roman" w:hAnsi="Times New Roman"/>
          <w:sz w:val="24"/>
        </w:rPr>
        <w:t>PRÍLOHA II</w:t>
      </w:r>
    </w:p>
    <w:p w14:paraId="7AF3DCD8" w14:textId="77777777" w:rsidR="00074AC8" w:rsidRPr="00CC28D3" w:rsidRDefault="00074AC8" w:rsidP="00074AC8">
      <w:pPr>
        <w:jc w:val="center"/>
        <w:rPr>
          <w:rFonts w:ascii="Times New Roman" w:hAnsi="Times New Roman"/>
          <w:sz w:val="24"/>
        </w:rPr>
      </w:pPr>
      <w:r w:rsidRPr="00CC28D3">
        <w:rPr>
          <w:rFonts w:ascii="Times New Roman" w:hAnsi="Times New Roman"/>
          <w:sz w:val="24"/>
        </w:rPr>
        <w:t>„PRÍLOHA II</w:t>
      </w:r>
    </w:p>
    <w:p w14:paraId="786C3F82" w14:textId="77777777" w:rsidR="00074AC8" w:rsidRPr="00CC28D3" w:rsidRDefault="00074AC8" w:rsidP="00074AC8">
      <w:pPr>
        <w:jc w:val="center"/>
        <w:rPr>
          <w:rFonts w:ascii="Times New Roman" w:hAnsi="Times New Roman"/>
          <w:b/>
          <w:sz w:val="24"/>
        </w:rPr>
      </w:pPr>
      <w:r w:rsidRPr="00CC28D3">
        <w:rPr>
          <w:rFonts w:ascii="Times New Roman" w:hAnsi="Times New Roman"/>
          <w:b/>
          <w:sz w:val="24"/>
        </w:rPr>
        <w:t>POKYNY NA VYKAZOVANIE VLASTNÝCH ZDROJOV A POŽIADAVIEK NA VLASTNÉ ZDROJE</w:t>
      </w:r>
    </w:p>
    <w:p w14:paraId="6BCD4480" w14:textId="77777777" w:rsidR="00074AC8" w:rsidRPr="00CC28D3" w:rsidRDefault="00074AC8" w:rsidP="00074AC8">
      <w:pPr>
        <w:jc w:val="center"/>
        <w:rPr>
          <w:rFonts w:ascii="Times New Roman" w:hAnsi="Times New Roman"/>
          <w:b/>
          <w:sz w:val="24"/>
          <w:lang w:eastAsia="de-DE"/>
        </w:rPr>
      </w:pPr>
    </w:p>
    <w:p w14:paraId="3CC9E074" w14:textId="77777777" w:rsidR="00074AC8" w:rsidRPr="00CC28D3" w:rsidRDefault="00074AC8" w:rsidP="00074AC8">
      <w:pPr>
        <w:rPr>
          <w:rFonts w:ascii="Times New Roman" w:hAnsi="Times New Roman"/>
          <w:sz w:val="24"/>
        </w:rPr>
      </w:pPr>
    </w:p>
    <w:p w14:paraId="27B4A905" w14:textId="77777777" w:rsidR="00074AC8" w:rsidRPr="00CC28D3" w:rsidRDefault="00074AC8" w:rsidP="00074AC8">
      <w:pPr>
        <w:pStyle w:val="Heading2"/>
        <w:rPr>
          <w:rFonts w:ascii="Times New Roman" w:hAnsi="Times New Roman"/>
        </w:rPr>
      </w:pPr>
      <w:bookmarkStart w:id="0" w:name="_Toc360188322"/>
      <w:bookmarkStart w:id="1" w:name="_Toc473560870"/>
      <w:bookmarkStart w:id="2" w:name="_Toc151714358"/>
      <w:r w:rsidRPr="00CC28D3">
        <w:rPr>
          <w:rFonts w:ascii="Times New Roman" w:hAnsi="Times New Roman"/>
        </w:rPr>
        <w:t>ČASŤ II: POKYNY TÝKAJÚCE SA VZOROV</w:t>
      </w:r>
      <w:bookmarkEnd w:id="0"/>
      <w:bookmarkEnd w:id="1"/>
      <w:bookmarkEnd w:id="2"/>
    </w:p>
    <w:p w14:paraId="58C4E75A" w14:textId="77777777" w:rsidR="00074AC8" w:rsidRPr="00CC28D3" w:rsidRDefault="00074AC8" w:rsidP="00074AC8">
      <w:pPr>
        <w:rPr>
          <w:lang w:eastAsia="x-none"/>
        </w:rPr>
      </w:pPr>
    </w:p>
    <w:p w14:paraId="14EC4CED" w14:textId="77777777" w:rsidR="00074AC8" w:rsidRPr="00CC28D3" w:rsidRDefault="00074AC8" w:rsidP="00074AC8">
      <w:r w:rsidRPr="00CC28D3">
        <w:t>(…)</w:t>
      </w:r>
    </w:p>
    <w:p w14:paraId="6B9B322A" w14:textId="77777777" w:rsidR="00E26A90" w:rsidRPr="00CC28D3" w:rsidRDefault="00E26A90"/>
    <w:p w14:paraId="1A7CCECF" w14:textId="77777777" w:rsidR="00EF74C7" w:rsidRPr="00CC28D3"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sidRPr="00CC28D3">
        <w:rPr>
          <w:rFonts w:ascii="Times New Roman" w:hAnsi="Times New Roman"/>
          <w:sz w:val="24"/>
        </w:rPr>
        <w:t>Kreditné riziko protistrany</w:t>
      </w:r>
      <w:bookmarkEnd w:id="3"/>
      <w:bookmarkEnd w:id="4"/>
    </w:p>
    <w:p w14:paraId="41169173" w14:textId="77777777" w:rsidR="00EF74C7" w:rsidRPr="00CC28D3"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sidRPr="00CC28D3">
        <w:rPr>
          <w:rFonts w:ascii="Times New Roman" w:hAnsi="Times New Roman"/>
          <w:sz w:val="24"/>
        </w:rPr>
        <w:t>Rozsah pôsobnosti vzorov pre kreditné riziko protistrany</w:t>
      </w:r>
      <w:bookmarkEnd w:id="11"/>
      <w:bookmarkEnd w:id="12"/>
      <w:bookmarkEnd w:id="13"/>
    </w:p>
    <w:p w14:paraId="19D6AFBD" w14:textId="12E113A1"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119</w:t>
      </w:r>
      <w:r w:rsidRPr="00CC28D3">
        <w:fldChar w:fldCharType="end"/>
      </w:r>
      <w:r w:rsidRPr="00CC28D3">
        <w:t>. Vzory pre kreditné riziko protistrany sa týkajú informácií</w:t>
      </w:r>
      <w:r w:rsidR="00CC28D3">
        <w:t xml:space="preserve"> o </w:t>
      </w:r>
      <w:r w:rsidRPr="00CC28D3">
        <w:t>expozíciách, na ktoré sa vzťahuje kreditné riziko protistrany, pri uplatňovaní tretej časti hlavy II kapitol 4</w:t>
      </w:r>
      <w:r w:rsidR="00CC28D3">
        <w:t xml:space="preserve"> a </w:t>
      </w:r>
      <w:r w:rsidRPr="00CC28D3">
        <w:t xml:space="preserve">6 nariadenia (EÚ) </w:t>
      </w:r>
      <w:r w:rsidR="00CC28D3">
        <w:t>č. </w:t>
      </w:r>
      <w:r w:rsidRPr="00CC28D3">
        <w:t>575/2013.</w:t>
      </w:r>
    </w:p>
    <w:p w14:paraId="23177535" w14:textId="1C132B57" w:rsid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120</w:t>
      </w:r>
      <w:r w:rsidRPr="00CC28D3">
        <w:fldChar w:fldCharType="end"/>
      </w:r>
      <w:r w:rsidRPr="00CC28D3">
        <w:t>. Zo vzorov sú vylúčené požiadavky na vlastné zdroje pre riziko úpravy ocenenia pohľadávok [článok 92 ods. 3 písm. d)</w:t>
      </w:r>
      <w:r w:rsidR="00CC28D3">
        <w:t xml:space="preserve"> a </w:t>
      </w:r>
      <w:r w:rsidRPr="00CC28D3">
        <w:t xml:space="preserve">tretia časť hlava VI nariadenia (EÚ) </w:t>
      </w:r>
      <w:r w:rsidR="00CC28D3">
        <w:t>č. </w:t>
      </w:r>
      <w:r w:rsidRPr="00CC28D3">
        <w:t>575/2013], ktoré sa vykazujú vo vzore pre riziko úpravy ocenenia pohľadávok</w:t>
      </w:r>
      <w:r w:rsidR="00CC28D3">
        <w:t>.</w:t>
      </w:r>
    </w:p>
    <w:p w14:paraId="69B3C47B" w14:textId="4819265F"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121</w:t>
      </w:r>
      <w:r w:rsidRPr="00CC28D3">
        <w:fldChar w:fldCharType="end"/>
      </w:r>
      <w:r w:rsidRPr="00CC28D3">
        <w:t>. Expozície voči kreditnému riziku centrálnych protistrán [tretia časť hlava II kapitola 4</w:t>
      </w:r>
      <w:r w:rsidR="00CC28D3">
        <w:t xml:space="preserve"> a </w:t>
      </w:r>
      <w:r w:rsidRPr="00CC28D3">
        <w:t xml:space="preserve">tretia časť hlava II kapitola 6 oddiel 9 nariadenia (EÚ) </w:t>
      </w:r>
      <w:r w:rsidR="00CC28D3">
        <w:t>č. </w:t>
      </w:r>
      <w:r w:rsidRPr="00CC28D3">
        <w:t>575/2013] by sa mali zahrnúť do údajov</w:t>
      </w:r>
      <w:r w:rsidR="00CC28D3">
        <w:t xml:space="preserve"> o </w:t>
      </w:r>
      <w:r w:rsidRPr="00CC28D3">
        <w:t>CCR, ak nie je uvedené inak. Príspevky do fondu pre prípad zlyhania vypočítané</w:t>
      </w:r>
      <w:r w:rsidR="00CC28D3">
        <w:t xml:space="preserve"> v </w:t>
      </w:r>
      <w:r w:rsidRPr="00CC28D3">
        <w:t>súlade</w:t>
      </w:r>
      <w:r w:rsidR="00CC28D3">
        <w:t xml:space="preserve"> s </w:t>
      </w:r>
      <w:r w:rsidRPr="00CC28D3">
        <w:t xml:space="preserve">článkami 307 až 310 nariadenia (EÚ) </w:t>
      </w:r>
      <w:r w:rsidR="00CC28D3">
        <w:t>č. </w:t>
      </w:r>
      <w:r w:rsidRPr="00CC28D3">
        <w:t>575/2013 sa však nevykazujú vo vzoroch pre kreditné riziko protistrany,</w:t>
      </w:r>
      <w:r w:rsidR="00CC28D3">
        <w:t xml:space="preserve"> s </w:t>
      </w:r>
      <w:r w:rsidRPr="00CC28D3">
        <w:t>výnimkou vzoru C 34.10, konkrétne príslušných riadkov. Hodnoty rizikovo vážených expozícií príspevkov do fondu pre prípad zlyhania sa vo všeobecnosti vykazujú priamo vo vzore C 02.00, riadku 0460.</w:t>
      </w:r>
    </w:p>
    <w:p w14:paraId="30858597" w14:textId="77777777" w:rsidR="00EF74C7" w:rsidRPr="00CC28D3"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sidRPr="00CC28D3">
        <w:rPr>
          <w:rFonts w:ascii="Times New Roman" w:hAnsi="Times New Roman"/>
          <w:sz w:val="24"/>
        </w:rPr>
        <w:t>C 34.01 –⁠ Objem derivátových činností</w:t>
      </w:r>
      <w:bookmarkEnd w:id="14"/>
      <w:bookmarkEnd w:id="15"/>
    </w:p>
    <w:p w14:paraId="0D62C2B5"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sidRPr="00CC28D3">
        <w:rPr>
          <w:rFonts w:ascii="Times New Roman" w:hAnsi="Times New Roman"/>
          <w:sz w:val="24"/>
        </w:rPr>
        <w:t>Všeobecné poznámky</w:t>
      </w:r>
      <w:bookmarkEnd w:id="16"/>
      <w:bookmarkEnd w:id="17"/>
      <w:bookmarkEnd w:id="18"/>
    </w:p>
    <w:p w14:paraId="20D44CDB" w14:textId="717B9A71"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122</w:t>
      </w:r>
      <w:r w:rsidRPr="00CC28D3">
        <w:fldChar w:fldCharType="end"/>
      </w:r>
      <w:r w:rsidRPr="00CC28D3">
        <w:t>.</w:t>
      </w:r>
      <w:r w:rsidR="00CC28D3">
        <w:t xml:space="preserve"> V </w:t>
      </w:r>
      <w:r w:rsidRPr="00CC28D3">
        <w:t>súlade</w:t>
      </w:r>
      <w:r w:rsidR="00CC28D3">
        <w:t xml:space="preserve"> s </w:t>
      </w:r>
      <w:r w:rsidRPr="00CC28D3">
        <w:t xml:space="preserve">článkom 273a nariadenia (EÚ) </w:t>
      </w:r>
      <w:r w:rsidR="00CC28D3">
        <w:t>č. </w:t>
      </w:r>
      <w:r w:rsidRPr="00CC28D3">
        <w:t>575/2013 môže inštitúcia vypočítať hodnotu expozície svojich derivátových pozícií</w:t>
      </w:r>
      <w:r w:rsidR="00CC28D3">
        <w:t xml:space="preserve"> v </w:t>
      </w:r>
      <w:r w:rsidRPr="00CC28D3">
        <w:t>súlade</w:t>
      </w:r>
      <w:r w:rsidR="00CC28D3">
        <w:t xml:space="preserve"> s </w:t>
      </w:r>
      <w:r w:rsidRPr="00CC28D3">
        <w:t>metódou uvedenou</w:t>
      </w:r>
      <w:r w:rsidR="00CC28D3">
        <w:t xml:space="preserve"> v </w:t>
      </w:r>
      <w:r w:rsidRPr="00CC28D3">
        <w:t xml:space="preserve">tretej časti hlave II kapitole 6 oddiele 4 alebo 5 nariadenia (EÚ) </w:t>
      </w:r>
      <w:r w:rsidR="00CC28D3">
        <w:t>č. </w:t>
      </w:r>
      <w:r w:rsidRPr="00CC28D3">
        <w:t>575/2013 za predpokladu, že rozsah jej súvahových, resp. podsúvahových derivátových činností neprevyšuje vopred stanovené prahové hodnoty. Zodpovedajúce posúdenie sa má uskutočňovať každý mesiac</w:t>
      </w:r>
      <w:r w:rsidR="00CC28D3">
        <w:t xml:space="preserve"> s </w:t>
      </w:r>
      <w:r w:rsidRPr="00CC28D3">
        <w:t>použitím údajov</w:t>
      </w:r>
      <w:r w:rsidR="00CC28D3">
        <w:t xml:space="preserve"> k </w:t>
      </w:r>
      <w:r w:rsidRPr="00CC28D3">
        <w:t>poslednému dňu mesiaca.</w:t>
      </w:r>
      <w:r w:rsidR="00CC28D3">
        <w:t xml:space="preserve"> V </w:t>
      </w:r>
      <w:r w:rsidRPr="00CC28D3">
        <w:t>tomto vzore sa uvádzajú informácie</w:t>
      </w:r>
      <w:r w:rsidR="00CC28D3">
        <w:t xml:space="preserve"> o </w:t>
      </w:r>
      <w:r w:rsidRPr="00CC28D3">
        <w:t xml:space="preserve">dodržiavaní </w:t>
      </w:r>
      <w:r w:rsidRPr="00CC28D3">
        <w:lastRenderedPageBreak/>
        <w:t>uvedených prahových hodnôt</w:t>
      </w:r>
      <w:r w:rsidR="00CC28D3">
        <w:t xml:space="preserve"> a </w:t>
      </w:r>
      <w:r w:rsidRPr="00CC28D3">
        <w:t>všeobecnejšie dôležité informácie</w:t>
      </w:r>
      <w:r w:rsidR="00CC28D3">
        <w:t xml:space="preserve"> o </w:t>
      </w:r>
      <w:r w:rsidRPr="00CC28D3">
        <w:t>objeme derivátových činností.</w:t>
      </w:r>
    </w:p>
    <w:p w14:paraId="0B9542C1" w14:textId="79DB75C5"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123</w:t>
      </w:r>
      <w:r w:rsidRPr="00CC28D3">
        <w:fldChar w:fldCharType="end"/>
      </w:r>
      <w:r w:rsidRPr="00CC28D3">
        <w:t>. Mesiac 1, mesiac 2</w:t>
      </w:r>
      <w:r w:rsidR="00CC28D3">
        <w:t xml:space="preserve"> a </w:t>
      </w:r>
      <w:r w:rsidRPr="00CC28D3">
        <w:t>mesiac 3 sa vzťahujú na prvý, druhý</w:t>
      </w:r>
      <w:r w:rsidR="00CC28D3">
        <w:t xml:space="preserve"> a </w:t>
      </w:r>
      <w:r w:rsidRPr="00CC28D3">
        <w:t>posledný mesiac vykazovaného štvrťroka. Informácie sa vykazujú pre koniec mesiacov len po 28. júni 2021.</w:t>
      </w:r>
    </w:p>
    <w:p w14:paraId="782EADBE"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sidRPr="00CC28D3">
        <w:rPr>
          <w:rFonts w:ascii="Times New Roman" w:hAnsi="Times New Roman"/>
          <w:sz w:val="24"/>
        </w:rPr>
        <w:t>Pokyny týkajúce sa konkrétnych pozícií</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EF74C7" w:rsidRPr="00CC28D3" w14:paraId="0475E41A" w14:textId="77777777" w:rsidTr="00822842">
        <w:tc>
          <w:tcPr>
            <w:tcW w:w="851" w:type="dxa"/>
            <w:gridSpan w:val="2"/>
            <w:shd w:val="clear" w:color="auto" w:fill="CCCCCC"/>
          </w:tcPr>
          <w:p w14:paraId="31CC44BD" w14:textId="77777777" w:rsidR="00EF74C7" w:rsidRPr="00CC28D3" w:rsidRDefault="00EF74C7" w:rsidP="00822842">
            <w:pPr>
              <w:spacing w:beforeLines="60" w:before="144" w:afterLines="60" w:after="144"/>
              <w:rPr>
                <w:rFonts w:ascii="Times New Roman" w:hAnsi="Times New Roman"/>
                <w:b/>
                <w:sz w:val="24"/>
              </w:rPr>
            </w:pPr>
            <w:r w:rsidRPr="00CC28D3">
              <w:rPr>
                <w:rFonts w:ascii="Times New Roman" w:hAnsi="Times New Roman"/>
                <w:b/>
                <w:sz w:val="24"/>
              </w:rPr>
              <w:t>Stĺpce</w:t>
            </w:r>
          </w:p>
        </w:tc>
      </w:tr>
      <w:tr w:rsidR="00EF74C7" w:rsidRPr="00CC28D3" w14:paraId="39875704" w14:textId="77777777" w:rsidTr="00822842">
        <w:tc>
          <w:tcPr>
            <w:tcW w:w="851" w:type="dxa"/>
          </w:tcPr>
          <w:p w14:paraId="39BC59F7"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0010, 0040, 0070</w:t>
            </w:r>
          </w:p>
        </w:tc>
        <w:tc>
          <w:tcPr>
            <w:tcW w:w="8108" w:type="dxa"/>
          </w:tcPr>
          <w:p w14:paraId="09D42C21"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DLHÉ DERIVÁTOVÉ POZÍCIE</w:t>
            </w:r>
          </w:p>
          <w:p w14:paraId="2BADA7D6" w14:textId="2736EC0D" w:rsidR="00EF74C7" w:rsidRPr="00CC28D3" w:rsidRDefault="00EF74C7" w:rsidP="00822842">
            <w:pPr>
              <w:spacing w:beforeLines="60" w:before="144" w:afterLines="60" w:after="144"/>
              <w:rPr>
                <w:rStyle w:val="InstructionsTabelleberschrift"/>
                <w:rFonts w:ascii="Times New Roman" w:hAnsi="Times New Roman"/>
                <w:b w:val="0"/>
                <w:sz w:val="24"/>
              </w:rPr>
            </w:pPr>
            <w:r w:rsidRPr="00CC28D3">
              <w:rPr>
                <w:rStyle w:val="InstructionsTabelleberschrift"/>
                <w:rFonts w:ascii="Times New Roman" w:hAnsi="Times New Roman"/>
                <w:sz w:val="24"/>
              </w:rPr>
              <w:t xml:space="preserve">Článok 273a ods. 3 nariadenia (EÚ) </w:t>
            </w:r>
            <w:r w:rsidR="00CC28D3">
              <w:rPr>
                <w:rStyle w:val="InstructionsTabelleberschrift"/>
                <w:rFonts w:ascii="Times New Roman" w:hAnsi="Times New Roman"/>
                <w:sz w:val="24"/>
              </w:rPr>
              <w:t>č. </w:t>
            </w:r>
            <w:r w:rsidRPr="00CC28D3">
              <w:rPr>
                <w:rStyle w:val="InstructionsTabelleberschrift"/>
                <w:rFonts w:ascii="Times New Roman" w:hAnsi="Times New Roman"/>
                <w:sz w:val="24"/>
              </w:rPr>
              <w:t>575/2013</w:t>
            </w:r>
          </w:p>
          <w:p w14:paraId="400C78E9" w14:textId="33B06751"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Vykazuje sa súčet absolútnych trhových hodnôt dlhých derivátových pozícií</w:t>
            </w:r>
            <w:r w:rsidR="00CC28D3">
              <w:rPr>
                <w:rFonts w:ascii="Times New Roman" w:hAnsi="Times New Roman"/>
                <w:sz w:val="24"/>
              </w:rPr>
              <w:t xml:space="preserve"> k </w:t>
            </w:r>
            <w:r w:rsidRPr="00CC28D3">
              <w:rPr>
                <w:rFonts w:ascii="Times New Roman" w:hAnsi="Times New Roman"/>
                <w:sz w:val="24"/>
              </w:rPr>
              <w:t>poslednému dňu mesiaca.</w:t>
            </w:r>
          </w:p>
        </w:tc>
      </w:tr>
      <w:tr w:rsidR="00EF74C7" w:rsidRPr="00CC28D3" w14:paraId="76F76EF8" w14:textId="77777777" w:rsidTr="00822842">
        <w:tc>
          <w:tcPr>
            <w:tcW w:w="851" w:type="dxa"/>
          </w:tcPr>
          <w:p w14:paraId="1821FC2A"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0020, 0050,</w:t>
            </w:r>
          </w:p>
          <w:p w14:paraId="6AD38436"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0080</w:t>
            </w:r>
          </w:p>
        </w:tc>
        <w:tc>
          <w:tcPr>
            <w:tcW w:w="8108" w:type="dxa"/>
          </w:tcPr>
          <w:p w14:paraId="4F840B38"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KRÁTKE DERIVÁTOVÉ POZÍCIE</w:t>
            </w:r>
          </w:p>
          <w:p w14:paraId="17AF4A13" w14:textId="06912E43" w:rsidR="00EF74C7" w:rsidRPr="00CC28D3" w:rsidRDefault="00EF74C7" w:rsidP="00822842">
            <w:pPr>
              <w:spacing w:beforeLines="60" w:before="144" w:afterLines="60" w:after="144"/>
              <w:rPr>
                <w:rStyle w:val="InstructionsTabelleberschrift"/>
                <w:rFonts w:ascii="Times New Roman" w:hAnsi="Times New Roman"/>
                <w:b w:val="0"/>
                <w:sz w:val="24"/>
              </w:rPr>
            </w:pPr>
            <w:r w:rsidRPr="00CC28D3">
              <w:rPr>
                <w:rStyle w:val="InstructionsTabelleberschrift"/>
                <w:rFonts w:ascii="Times New Roman" w:hAnsi="Times New Roman"/>
                <w:sz w:val="24"/>
              </w:rPr>
              <w:t xml:space="preserve">Článok 273a ods. 3 nariadenia (EÚ) </w:t>
            </w:r>
            <w:r w:rsidR="00CC28D3">
              <w:rPr>
                <w:rStyle w:val="InstructionsTabelleberschrift"/>
                <w:rFonts w:ascii="Times New Roman" w:hAnsi="Times New Roman"/>
                <w:sz w:val="24"/>
              </w:rPr>
              <w:t>č. </w:t>
            </w:r>
            <w:r w:rsidRPr="00CC28D3">
              <w:rPr>
                <w:rStyle w:val="InstructionsTabelleberschrift"/>
                <w:rFonts w:ascii="Times New Roman" w:hAnsi="Times New Roman"/>
                <w:sz w:val="24"/>
              </w:rPr>
              <w:t>575/2013</w:t>
            </w:r>
          </w:p>
          <w:p w14:paraId="3AB96F81" w14:textId="4F7EF5D4"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Vykazuje sa súčet absolútnych trhových hodnôt krátkych derivátových pozícií</w:t>
            </w:r>
            <w:r w:rsidR="00CC28D3">
              <w:rPr>
                <w:rFonts w:ascii="Times New Roman" w:hAnsi="Times New Roman"/>
                <w:sz w:val="24"/>
              </w:rPr>
              <w:t xml:space="preserve"> k </w:t>
            </w:r>
            <w:r w:rsidRPr="00CC28D3">
              <w:rPr>
                <w:rFonts w:ascii="Times New Roman" w:hAnsi="Times New Roman"/>
                <w:sz w:val="24"/>
              </w:rPr>
              <w:t>poslednému dňu mesiaca.</w:t>
            </w:r>
          </w:p>
        </w:tc>
      </w:tr>
      <w:tr w:rsidR="00EF74C7" w:rsidRPr="00CC28D3" w14:paraId="03A14C37" w14:textId="77777777" w:rsidTr="00822842">
        <w:tc>
          <w:tcPr>
            <w:tcW w:w="851" w:type="dxa"/>
          </w:tcPr>
          <w:p w14:paraId="0D690866"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0030, 0060,</w:t>
            </w:r>
          </w:p>
          <w:p w14:paraId="1173DE8A"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0090</w:t>
            </w:r>
          </w:p>
        </w:tc>
        <w:tc>
          <w:tcPr>
            <w:tcW w:w="8108" w:type="dxa"/>
          </w:tcPr>
          <w:p w14:paraId="252D116D"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SPOLU</w:t>
            </w:r>
          </w:p>
          <w:p w14:paraId="4D024C67" w14:textId="7D9ABD22"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 xml:space="preserve">Článok 273a ods. 3 písm. b) </w:t>
            </w:r>
            <w:r w:rsidRPr="00CC28D3">
              <w:rPr>
                <w:rFonts w:ascii="Times New Roman" w:hAnsi="Times New Roman"/>
                <w:sz w:val="24"/>
              </w:rPr>
              <w:t xml:space="preserve">nariadenia (EÚ) </w:t>
            </w:r>
            <w:r w:rsidR="00CC28D3">
              <w:rPr>
                <w:rFonts w:ascii="Times New Roman" w:hAnsi="Times New Roman"/>
                <w:sz w:val="24"/>
              </w:rPr>
              <w:t>č. </w:t>
            </w:r>
            <w:r w:rsidRPr="00CC28D3">
              <w:rPr>
                <w:rFonts w:ascii="Times New Roman" w:hAnsi="Times New Roman"/>
                <w:sz w:val="24"/>
              </w:rPr>
              <w:t>575/2013</w:t>
            </w:r>
          </w:p>
          <w:p w14:paraId="6C39E208" w14:textId="44306629"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Súčet absolútnej hodnoty dlhých derivátových pozícií</w:t>
            </w:r>
            <w:r w:rsidR="00CC28D3">
              <w:rPr>
                <w:rFonts w:ascii="Times New Roman" w:hAnsi="Times New Roman"/>
                <w:sz w:val="24"/>
              </w:rPr>
              <w:t xml:space="preserve"> a </w:t>
            </w:r>
            <w:r w:rsidRPr="00CC28D3">
              <w:rPr>
                <w:rFonts w:ascii="Times New Roman" w:hAnsi="Times New Roman"/>
                <w:sz w:val="24"/>
              </w:rPr>
              <w:t>absolútnej hodnoty krátkych derivátových pozícií.</w:t>
            </w:r>
          </w:p>
        </w:tc>
      </w:tr>
    </w:tbl>
    <w:p w14:paraId="5DF57E78" w14:textId="77777777" w:rsidR="00EF74C7" w:rsidRPr="00CC28D3" w:rsidRDefault="00EF74C7" w:rsidP="00EF74C7">
      <w:pPr>
        <w:rPr>
          <w:rFonts w:ascii="Times New Roman" w:hAnsi="Times New Roman"/>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CC28D3" w14:paraId="1158449C" w14:textId="77777777" w:rsidTr="00822842">
        <w:tc>
          <w:tcPr>
            <w:tcW w:w="9039" w:type="dxa"/>
            <w:gridSpan w:val="2"/>
            <w:shd w:val="clear" w:color="auto" w:fill="CCCCCC"/>
          </w:tcPr>
          <w:p w14:paraId="2E01AD0B" w14:textId="77777777" w:rsidR="00EF74C7" w:rsidRPr="00CC28D3" w:rsidRDefault="00EF74C7" w:rsidP="00822842">
            <w:pPr>
              <w:spacing w:beforeLines="60" w:before="144" w:afterLines="60" w:after="144"/>
              <w:rPr>
                <w:rFonts w:ascii="Times New Roman" w:hAnsi="Times New Roman"/>
                <w:b/>
                <w:sz w:val="24"/>
              </w:rPr>
            </w:pPr>
            <w:r w:rsidRPr="00CC28D3">
              <w:rPr>
                <w:rFonts w:ascii="Times New Roman" w:hAnsi="Times New Roman"/>
                <w:b/>
                <w:sz w:val="24"/>
              </w:rPr>
              <w:t>Riadky</w:t>
            </w:r>
          </w:p>
        </w:tc>
      </w:tr>
      <w:tr w:rsidR="00EF74C7" w:rsidRPr="00CC28D3" w14:paraId="2C6F42AE" w14:textId="77777777" w:rsidTr="00822842">
        <w:tc>
          <w:tcPr>
            <w:tcW w:w="852" w:type="dxa"/>
          </w:tcPr>
          <w:p w14:paraId="024CBE56"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0010</w:t>
            </w:r>
          </w:p>
        </w:tc>
        <w:tc>
          <w:tcPr>
            <w:tcW w:w="8187" w:type="dxa"/>
          </w:tcPr>
          <w:p w14:paraId="552E9C6B"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Objem derivátových činností</w:t>
            </w:r>
          </w:p>
          <w:p w14:paraId="78339108" w14:textId="7C12837F" w:rsidR="00EF74C7" w:rsidRPr="00CC28D3" w:rsidRDefault="00EF74C7" w:rsidP="00822842">
            <w:pPr>
              <w:spacing w:beforeLines="60" w:before="144" w:afterLines="60" w:after="144"/>
              <w:rPr>
                <w:rFonts w:ascii="Times New Roman" w:hAnsi="Times New Roman"/>
                <w:bCs/>
                <w:sz w:val="24"/>
              </w:rPr>
            </w:pPr>
            <w:r w:rsidRPr="00CC28D3">
              <w:rPr>
                <w:rStyle w:val="InstructionsTabelleberschrift"/>
                <w:rFonts w:ascii="Times New Roman" w:hAnsi="Times New Roman"/>
                <w:b w:val="0"/>
                <w:sz w:val="24"/>
                <w:u w:val="none"/>
              </w:rPr>
              <w:t xml:space="preserve">Článok 273a ods. 3 </w:t>
            </w:r>
            <w:r w:rsidRPr="00CC28D3">
              <w:rPr>
                <w:rFonts w:ascii="Times New Roman" w:hAnsi="Times New Roman"/>
                <w:sz w:val="24"/>
              </w:rPr>
              <w:t xml:space="preserve">nariadenia (EÚ) </w:t>
            </w:r>
            <w:r w:rsidR="00CC28D3">
              <w:rPr>
                <w:rFonts w:ascii="Times New Roman" w:hAnsi="Times New Roman"/>
                <w:sz w:val="24"/>
              </w:rPr>
              <w:t>č. </w:t>
            </w:r>
            <w:r w:rsidRPr="00CC28D3">
              <w:rPr>
                <w:rFonts w:ascii="Times New Roman" w:hAnsi="Times New Roman"/>
                <w:sz w:val="24"/>
              </w:rPr>
              <w:t>575/2013</w:t>
            </w:r>
          </w:p>
          <w:p w14:paraId="6D4FE0C8" w14:textId="24B1FBB5"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Zahŕňajú sa všetky súvahové</w:t>
            </w:r>
            <w:r w:rsidR="00CC28D3">
              <w:rPr>
                <w:rStyle w:val="InstructionsTabelleberschrift"/>
                <w:rFonts w:ascii="Times New Roman" w:hAnsi="Times New Roman"/>
                <w:b w:val="0"/>
                <w:sz w:val="24"/>
                <w:u w:val="none"/>
              </w:rPr>
              <w:t xml:space="preserve"> a </w:t>
            </w:r>
            <w:r w:rsidRPr="00CC28D3">
              <w:rPr>
                <w:rStyle w:val="InstructionsTabelleberschrift"/>
                <w:rFonts w:ascii="Times New Roman" w:hAnsi="Times New Roman"/>
                <w:b w:val="0"/>
                <w:sz w:val="24"/>
                <w:u w:val="none"/>
              </w:rPr>
              <w:t xml:space="preserve">podsúvahové deriváty okrem kreditných derivátov, ktoré sú uznané za interný </w:t>
            </w:r>
            <w:proofErr w:type="spellStart"/>
            <w:r w:rsidRPr="00CC28D3">
              <w:rPr>
                <w:rStyle w:val="InstructionsTabelleberschrift"/>
                <w:rFonts w:ascii="Times New Roman" w:hAnsi="Times New Roman"/>
                <w:b w:val="0"/>
                <w:sz w:val="24"/>
                <w:u w:val="none"/>
              </w:rPr>
              <w:t>hedžing</w:t>
            </w:r>
            <w:proofErr w:type="spellEnd"/>
            <w:r w:rsidRPr="00CC28D3">
              <w:rPr>
                <w:rStyle w:val="InstructionsTabelleberschrift"/>
                <w:rFonts w:ascii="Times New Roman" w:hAnsi="Times New Roman"/>
                <w:b w:val="0"/>
                <w:sz w:val="24"/>
                <w:u w:val="none"/>
              </w:rPr>
              <w:t xml:space="preserve"> proti expozíciám voči kreditnému riziku neobchodnej knihy.</w:t>
            </w:r>
          </w:p>
        </w:tc>
      </w:tr>
      <w:tr w:rsidR="00EF74C7" w:rsidRPr="00CC28D3" w14:paraId="579E43BD" w14:textId="77777777" w:rsidTr="00822842">
        <w:tc>
          <w:tcPr>
            <w:tcW w:w="852" w:type="dxa"/>
          </w:tcPr>
          <w:p w14:paraId="435DE7F3"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 xml:space="preserve">0020 </w:t>
            </w:r>
          </w:p>
        </w:tc>
        <w:tc>
          <w:tcPr>
            <w:tcW w:w="8187" w:type="dxa"/>
          </w:tcPr>
          <w:p w14:paraId="04982DD9" w14:textId="61D1AAB8"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Súvahové</w:t>
            </w:r>
            <w:r w:rsidR="00CC28D3">
              <w:rPr>
                <w:rStyle w:val="InstructionsTabelleberschrift"/>
                <w:rFonts w:ascii="Times New Roman" w:hAnsi="Times New Roman"/>
                <w:sz w:val="24"/>
              </w:rPr>
              <w:t xml:space="preserve"> a </w:t>
            </w:r>
            <w:r w:rsidRPr="00CC28D3">
              <w:rPr>
                <w:rStyle w:val="InstructionsTabelleberschrift"/>
                <w:rFonts w:ascii="Times New Roman" w:hAnsi="Times New Roman"/>
                <w:sz w:val="24"/>
              </w:rPr>
              <w:t>podsúvahové deriváty</w:t>
            </w:r>
          </w:p>
          <w:p w14:paraId="5D2385C4" w14:textId="0996F97F"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Článok 273a ods. 3 písm. a)</w:t>
            </w:r>
            <w:r w:rsidR="00CC28D3">
              <w:rPr>
                <w:rStyle w:val="InstructionsTabelleberschrift"/>
                <w:rFonts w:ascii="Times New Roman" w:hAnsi="Times New Roman"/>
                <w:b w:val="0"/>
                <w:sz w:val="24"/>
                <w:u w:val="none"/>
              </w:rPr>
              <w:t xml:space="preserve"> a </w:t>
            </w:r>
            <w:r w:rsidRPr="00CC28D3">
              <w:rPr>
                <w:rStyle w:val="InstructionsTabelleberschrift"/>
                <w:rFonts w:ascii="Times New Roman" w:hAnsi="Times New Roman"/>
                <w:b w:val="0"/>
                <w:sz w:val="24"/>
                <w:u w:val="none"/>
              </w:rPr>
              <w:t>b)</w:t>
            </w:r>
            <w:r w:rsidRPr="00CC28D3">
              <w:rPr>
                <w:rFonts w:ascii="Times New Roman" w:hAnsi="Times New Roman"/>
                <w:sz w:val="24"/>
              </w:rPr>
              <w:t xml:space="preserve"> nariadenia (EÚ) </w:t>
            </w:r>
            <w:r w:rsidR="00CC28D3">
              <w:rPr>
                <w:rFonts w:ascii="Times New Roman" w:hAnsi="Times New Roman"/>
                <w:sz w:val="24"/>
              </w:rPr>
              <w:t>č. </w:t>
            </w:r>
            <w:r w:rsidRPr="00CC28D3">
              <w:rPr>
                <w:rFonts w:ascii="Times New Roman" w:hAnsi="Times New Roman"/>
                <w:sz w:val="24"/>
              </w:rPr>
              <w:t>575/2013</w:t>
            </w:r>
          </w:p>
          <w:p w14:paraId="36CFA94A" w14:textId="4852D376"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Vykazuje sa celková trhová hodnota súvahových</w:t>
            </w:r>
            <w:r w:rsidR="00CC28D3">
              <w:rPr>
                <w:rStyle w:val="InstructionsTabelleberschrift"/>
                <w:rFonts w:ascii="Times New Roman" w:hAnsi="Times New Roman"/>
                <w:b w:val="0"/>
                <w:sz w:val="24"/>
                <w:u w:val="none"/>
              </w:rPr>
              <w:t xml:space="preserve"> a </w:t>
            </w:r>
            <w:r w:rsidRPr="00CC28D3">
              <w:rPr>
                <w:rStyle w:val="InstructionsTabelleberschrift"/>
                <w:rFonts w:ascii="Times New Roman" w:hAnsi="Times New Roman"/>
                <w:b w:val="0"/>
                <w:sz w:val="24"/>
                <w:u w:val="none"/>
              </w:rPr>
              <w:t>podsúvahových derivátových pozícií</w:t>
            </w:r>
            <w:r w:rsidR="00CC28D3">
              <w:rPr>
                <w:rStyle w:val="InstructionsTabelleberschrift"/>
                <w:rFonts w:ascii="Times New Roman" w:hAnsi="Times New Roman"/>
                <w:b w:val="0"/>
                <w:sz w:val="24"/>
                <w:u w:val="none"/>
              </w:rPr>
              <w:t xml:space="preserve"> k </w:t>
            </w:r>
            <w:r w:rsidRPr="00CC28D3">
              <w:rPr>
                <w:rStyle w:val="InstructionsTabelleberschrift"/>
                <w:rFonts w:ascii="Times New Roman" w:hAnsi="Times New Roman"/>
                <w:b w:val="0"/>
                <w:sz w:val="24"/>
                <w:u w:val="none"/>
              </w:rPr>
              <w:t>poslednému dňu mesiaca.</w:t>
            </w:r>
            <w:r w:rsidRPr="00CC28D3">
              <w:rPr>
                <w:rFonts w:ascii="Times New Roman" w:hAnsi="Times New Roman"/>
                <w:sz w:val="24"/>
              </w:rPr>
              <w:t xml:space="preserve"> Ak trhová hodnota pozície nie je</w:t>
            </w:r>
            <w:r w:rsidR="00CC28D3">
              <w:rPr>
                <w:rFonts w:ascii="Times New Roman" w:hAnsi="Times New Roman"/>
                <w:sz w:val="24"/>
              </w:rPr>
              <w:t xml:space="preserve"> k </w:t>
            </w:r>
            <w:r w:rsidRPr="00CC28D3">
              <w:rPr>
                <w:rFonts w:ascii="Times New Roman" w:hAnsi="Times New Roman"/>
                <w:sz w:val="24"/>
              </w:rPr>
              <w:t>danému dátumu</w:t>
            </w:r>
            <w:r w:rsidR="00CC28D3">
              <w:rPr>
                <w:rFonts w:ascii="Times New Roman" w:hAnsi="Times New Roman"/>
                <w:sz w:val="24"/>
              </w:rPr>
              <w:t xml:space="preserve"> k </w:t>
            </w:r>
            <w:r w:rsidRPr="00CC28D3">
              <w:rPr>
                <w:rFonts w:ascii="Times New Roman" w:hAnsi="Times New Roman"/>
                <w:sz w:val="24"/>
              </w:rPr>
              <w:t>dispozícii, inštitúcie použijú</w:t>
            </w:r>
            <w:r w:rsidR="00CC28D3">
              <w:rPr>
                <w:rFonts w:ascii="Times New Roman" w:hAnsi="Times New Roman"/>
                <w:sz w:val="24"/>
              </w:rPr>
              <w:t xml:space="preserve"> k </w:t>
            </w:r>
            <w:r w:rsidRPr="00CC28D3">
              <w:rPr>
                <w:rFonts w:ascii="Times New Roman" w:hAnsi="Times New Roman"/>
                <w:sz w:val="24"/>
              </w:rPr>
              <w:t>danému dátumu pre túto pozíciu reálnu hodnotu; ak trhová hodnota</w:t>
            </w:r>
            <w:r w:rsidR="00CC28D3">
              <w:rPr>
                <w:rFonts w:ascii="Times New Roman" w:hAnsi="Times New Roman"/>
                <w:sz w:val="24"/>
              </w:rPr>
              <w:t xml:space="preserve"> a </w:t>
            </w:r>
            <w:r w:rsidRPr="00CC28D3">
              <w:rPr>
                <w:rFonts w:ascii="Times New Roman" w:hAnsi="Times New Roman"/>
                <w:sz w:val="24"/>
              </w:rPr>
              <w:t>reálna hodnota pozície nie sú</w:t>
            </w:r>
            <w:r w:rsidR="00CC28D3">
              <w:rPr>
                <w:rFonts w:ascii="Times New Roman" w:hAnsi="Times New Roman"/>
                <w:sz w:val="24"/>
              </w:rPr>
              <w:t xml:space="preserve"> k </w:t>
            </w:r>
            <w:r w:rsidRPr="00CC28D3">
              <w:rPr>
                <w:rFonts w:ascii="Times New Roman" w:hAnsi="Times New Roman"/>
                <w:sz w:val="24"/>
              </w:rPr>
              <w:t>danému dátumu</w:t>
            </w:r>
            <w:r w:rsidR="00CC28D3">
              <w:rPr>
                <w:rFonts w:ascii="Times New Roman" w:hAnsi="Times New Roman"/>
                <w:sz w:val="24"/>
              </w:rPr>
              <w:t xml:space="preserve"> k </w:t>
            </w:r>
            <w:r w:rsidRPr="00CC28D3">
              <w:rPr>
                <w:rFonts w:ascii="Times New Roman" w:hAnsi="Times New Roman"/>
                <w:sz w:val="24"/>
              </w:rPr>
              <w:t>dispozícii, inštitúcie uvedenú pozíciu ocenia poslednou trhovou hodnotou alebo reálnou hodnotou.</w:t>
            </w:r>
          </w:p>
        </w:tc>
      </w:tr>
      <w:tr w:rsidR="00EF74C7" w:rsidRPr="00CC28D3" w14:paraId="0D0ADD9F" w14:textId="77777777" w:rsidTr="00822842">
        <w:tc>
          <w:tcPr>
            <w:tcW w:w="852" w:type="dxa"/>
          </w:tcPr>
          <w:p w14:paraId="6D998AEA"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lastRenderedPageBreak/>
              <w:t xml:space="preserve">0030 </w:t>
            </w:r>
          </w:p>
        </w:tc>
        <w:tc>
          <w:tcPr>
            <w:tcW w:w="8187" w:type="dxa"/>
          </w:tcPr>
          <w:p w14:paraId="36732A5F" w14:textId="77777777" w:rsidR="00EF74C7" w:rsidRPr="00CC28D3" w:rsidRDefault="00EF74C7" w:rsidP="00822842">
            <w:pPr>
              <w:spacing w:beforeLines="60" w:before="144" w:afterLines="60" w:after="144"/>
              <w:rPr>
                <w:rFonts w:ascii="Times New Roman" w:hAnsi="Times New Roman"/>
                <w:b/>
                <w:sz w:val="24"/>
                <w:u w:val="single"/>
              </w:rPr>
            </w:pPr>
            <w:r w:rsidRPr="00CC28D3">
              <w:rPr>
                <w:rFonts w:ascii="Times New Roman" w:hAnsi="Times New Roman"/>
                <w:b/>
                <w:sz w:val="24"/>
                <w:u w:val="single"/>
              </w:rPr>
              <w:t xml:space="preserve">(–⁠) Kreditné deriváty, ktoré sú uznané za interný </w:t>
            </w:r>
            <w:proofErr w:type="spellStart"/>
            <w:r w:rsidRPr="00CC28D3">
              <w:rPr>
                <w:rFonts w:ascii="Times New Roman" w:hAnsi="Times New Roman"/>
                <w:b/>
                <w:sz w:val="24"/>
                <w:u w:val="single"/>
              </w:rPr>
              <w:t>hedžing</w:t>
            </w:r>
            <w:proofErr w:type="spellEnd"/>
            <w:r w:rsidRPr="00CC28D3">
              <w:rPr>
                <w:rFonts w:ascii="Times New Roman" w:hAnsi="Times New Roman"/>
                <w:b/>
                <w:sz w:val="24"/>
                <w:u w:val="single"/>
              </w:rPr>
              <w:t xml:space="preserve"> proti expozíciám voči kreditnému riziku neobchodnej knihy</w:t>
            </w:r>
          </w:p>
          <w:p w14:paraId="7B2D3F9F" w14:textId="6FE2C7AB"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 xml:space="preserve">Článok 273a ods. 3 písm. c) </w:t>
            </w:r>
            <w:r w:rsidRPr="00CC28D3">
              <w:rPr>
                <w:rFonts w:ascii="Times New Roman" w:hAnsi="Times New Roman"/>
                <w:sz w:val="24"/>
              </w:rPr>
              <w:t xml:space="preserve">nariadenia (EÚ) </w:t>
            </w:r>
            <w:r w:rsidR="00CC28D3">
              <w:rPr>
                <w:rFonts w:ascii="Times New Roman" w:hAnsi="Times New Roman"/>
                <w:sz w:val="24"/>
              </w:rPr>
              <w:t>č. </w:t>
            </w:r>
            <w:r w:rsidRPr="00CC28D3">
              <w:rPr>
                <w:rFonts w:ascii="Times New Roman" w:hAnsi="Times New Roman"/>
                <w:sz w:val="24"/>
              </w:rPr>
              <w:t>575/2013</w:t>
            </w:r>
          </w:p>
          <w:p w14:paraId="11EEB10C"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 xml:space="preserve">Celková trhová hodnota kreditných derivátov, ktoré sú uznané za interný </w:t>
            </w:r>
            <w:proofErr w:type="spellStart"/>
            <w:r w:rsidRPr="00CC28D3">
              <w:rPr>
                <w:rFonts w:ascii="Times New Roman" w:hAnsi="Times New Roman"/>
                <w:sz w:val="24"/>
              </w:rPr>
              <w:t>hedžing</w:t>
            </w:r>
            <w:proofErr w:type="spellEnd"/>
            <w:r w:rsidRPr="00CC28D3">
              <w:rPr>
                <w:rFonts w:ascii="Times New Roman" w:hAnsi="Times New Roman"/>
                <w:sz w:val="24"/>
              </w:rPr>
              <w:t xml:space="preserve"> proti expozíciám voči kreditnému riziku neobchodnej knihy.</w:t>
            </w:r>
          </w:p>
        </w:tc>
      </w:tr>
      <w:tr w:rsidR="00EF74C7" w:rsidRPr="00CC28D3" w14:paraId="35FDB40E" w14:textId="77777777" w:rsidTr="00822842">
        <w:tc>
          <w:tcPr>
            <w:tcW w:w="852" w:type="dxa"/>
          </w:tcPr>
          <w:p w14:paraId="74E4E271"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0040</w:t>
            </w:r>
          </w:p>
        </w:tc>
        <w:tc>
          <w:tcPr>
            <w:tcW w:w="8187" w:type="dxa"/>
          </w:tcPr>
          <w:p w14:paraId="0BD00669"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Celkové aktíva</w:t>
            </w:r>
          </w:p>
          <w:p w14:paraId="46929946" w14:textId="5F70E567"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Celkové aktíva</w:t>
            </w:r>
            <w:r w:rsidR="00CC28D3">
              <w:rPr>
                <w:rStyle w:val="InstructionsTabelleberschrift"/>
                <w:rFonts w:ascii="Times New Roman" w:hAnsi="Times New Roman"/>
                <w:b w:val="0"/>
                <w:sz w:val="24"/>
                <w:u w:val="none"/>
              </w:rPr>
              <w:t xml:space="preserve"> v </w:t>
            </w:r>
            <w:r w:rsidRPr="00CC28D3">
              <w:rPr>
                <w:rStyle w:val="InstructionsTabelleberschrift"/>
                <w:rFonts w:ascii="Times New Roman" w:hAnsi="Times New Roman"/>
                <w:b w:val="0"/>
                <w:sz w:val="24"/>
                <w:u w:val="none"/>
              </w:rPr>
              <w:t>súlade</w:t>
            </w:r>
            <w:r w:rsidR="00CC28D3">
              <w:rPr>
                <w:rStyle w:val="InstructionsTabelleberschrift"/>
                <w:rFonts w:ascii="Times New Roman" w:hAnsi="Times New Roman"/>
                <w:b w:val="0"/>
                <w:sz w:val="24"/>
                <w:u w:val="none"/>
              </w:rPr>
              <w:t xml:space="preserve"> s </w:t>
            </w:r>
            <w:r w:rsidRPr="00CC28D3">
              <w:rPr>
                <w:rStyle w:val="InstructionsTabelleberschrift"/>
                <w:rFonts w:ascii="Times New Roman" w:hAnsi="Times New Roman"/>
                <w:b w:val="0"/>
                <w:sz w:val="24"/>
                <w:u w:val="none"/>
              </w:rPr>
              <w:t>uplatniteľnými účtovnými štandardmi.</w:t>
            </w:r>
          </w:p>
          <w:p w14:paraId="010EF5F0" w14:textId="739E181A" w:rsidR="00EF74C7" w:rsidRPr="00CC28D3" w:rsidRDefault="00EF74C7" w:rsidP="00822842">
            <w:pPr>
              <w:spacing w:beforeLines="60" w:before="144" w:afterLines="60" w:after="144"/>
              <w:rPr>
                <w:rStyle w:val="InstructionsTabelleberschrift"/>
                <w:rFonts w:ascii="Times New Roman" w:hAnsi="Times New Roman"/>
                <w:b w:val="0"/>
                <w:sz w:val="24"/>
              </w:rPr>
            </w:pPr>
            <w:r w:rsidRPr="00CC28D3">
              <w:rPr>
                <w:rStyle w:val="InstructionsTabelleberschrift"/>
                <w:rFonts w:ascii="Times New Roman" w:hAnsi="Times New Roman"/>
                <w:b w:val="0"/>
                <w:sz w:val="24"/>
                <w:u w:val="none"/>
              </w:rPr>
              <w:t xml:space="preserve">Pri konsolidovanom vykazovaní inštitúcia vykazuje celkové aktíva podľa </w:t>
            </w:r>
            <w:proofErr w:type="spellStart"/>
            <w:r w:rsidRPr="00CC28D3">
              <w:rPr>
                <w:rStyle w:val="InstructionsTabelleberschrift"/>
                <w:rFonts w:ascii="Times New Roman" w:hAnsi="Times New Roman"/>
                <w:b w:val="0"/>
                <w:sz w:val="24"/>
                <w:u w:val="none"/>
              </w:rPr>
              <w:t>prudenciálneho</w:t>
            </w:r>
            <w:proofErr w:type="spellEnd"/>
            <w:r w:rsidRPr="00CC28D3">
              <w:rPr>
                <w:rStyle w:val="InstructionsTabelleberschrift"/>
                <w:rFonts w:ascii="Times New Roman" w:hAnsi="Times New Roman"/>
                <w:b w:val="0"/>
                <w:sz w:val="24"/>
                <w:u w:val="none"/>
              </w:rPr>
              <w:t xml:space="preserve"> rozsahu konsolidácie</w:t>
            </w:r>
            <w:r w:rsidR="00CC28D3">
              <w:rPr>
                <w:rStyle w:val="InstructionsTabelleberschrift"/>
                <w:rFonts w:ascii="Times New Roman" w:hAnsi="Times New Roman"/>
                <w:b w:val="0"/>
                <w:sz w:val="24"/>
                <w:u w:val="none"/>
              </w:rPr>
              <w:t xml:space="preserve"> v </w:t>
            </w:r>
            <w:r w:rsidRPr="00CC28D3">
              <w:rPr>
                <w:rStyle w:val="InstructionsTabelleberschrift"/>
                <w:rFonts w:ascii="Times New Roman" w:hAnsi="Times New Roman"/>
                <w:b w:val="0"/>
                <w:sz w:val="24"/>
                <w:u w:val="none"/>
              </w:rPr>
              <w:t>súlade</w:t>
            </w:r>
            <w:r w:rsidR="00CC28D3">
              <w:rPr>
                <w:rStyle w:val="InstructionsTabelleberschrift"/>
                <w:rFonts w:ascii="Times New Roman" w:hAnsi="Times New Roman"/>
                <w:b w:val="0"/>
                <w:sz w:val="24"/>
                <w:u w:val="none"/>
              </w:rPr>
              <w:t xml:space="preserve"> s </w:t>
            </w:r>
            <w:r w:rsidRPr="00CC28D3">
              <w:rPr>
                <w:rStyle w:val="InstructionsTabelleberschrift"/>
                <w:rFonts w:ascii="Times New Roman" w:hAnsi="Times New Roman"/>
                <w:b w:val="0"/>
                <w:sz w:val="24"/>
                <w:u w:val="none"/>
              </w:rPr>
              <w:t>prvou časťou hlavou II kapitolou 2 oddielom 2</w:t>
            </w:r>
            <w:r w:rsidRPr="00CC28D3">
              <w:rPr>
                <w:rFonts w:ascii="Times New Roman" w:hAnsi="Times New Roman"/>
                <w:sz w:val="24"/>
              </w:rPr>
              <w:t xml:space="preserve"> nariadenia (EÚ) </w:t>
            </w:r>
            <w:r w:rsidR="00CC28D3">
              <w:rPr>
                <w:rFonts w:ascii="Times New Roman" w:hAnsi="Times New Roman"/>
                <w:sz w:val="24"/>
              </w:rPr>
              <w:t>č. </w:t>
            </w:r>
            <w:r w:rsidRPr="00CC28D3">
              <w:rPr>
                <w:rFonts w:ascii="Times New Roman" w:hAnsi="Times New Roman"/>
                <w:sz w:val="24"/>
              </w:rPr>
              <w:t>575/2013</w:t>
            </w:r>
            <w:r w:rsidRPr="00CC28D3">
              <w:rPr>
                <w:rStyle w:val="InstructionsTabelleberschrift"/>
                <w:rFonts w:ascii="Times New Roman" w:hAnsi="Times New Roman"/>
                <w:b w:val="0"/>
                <w:sz w:val="24"/>
                <w:u w:val="none"/>
              </w:rPr>
              <w:t>.</w:t>
            </w:r>
          </w:p>
        </w:tc>
      </w:tr>
      <w:tr w:rsidR="00EF74C7" w:rsidRPr="00CC28D3" w14:paraId="4D325D16" w14:textId="77777777" w:rsidTr="00822842">
        <w:tc>
          <w:tcPr>
            <w:tcW w:w="852" w:type="dxa"/>
          </w:tcPr>
          <w:p w14:paraId="60F15BF2"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0050</w:t>
            </w:r>
          </w:p>
        </w:tc>
        <w:tc>
          <w:tcPr>
            <w:tcW w:w="8187" w:type="dxa"/>
          </w:tcPr>
          <w:p w14:paraId="26613692"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Percentuálny podiel celkových aktív</w:t>
            </w:r>
          </w:p>
          <w:p w14:paraId="7A7748D7" w14:textId="57FC12E9" w:rsidR="00EF74C7" w:rsidRPr="00CC28D3" w:rsidRDefault="00EF74C7" w:rsidP="00822842">
            <w:pPr>
              <w:spacing w:beforeLines="60" w:before="144" w:afterLines="60" w:after="144"/>
              <w:rPr>
                <w:rFonts w:ascii="Times New Roman" w:hAnsi="Times New Roman"/>
                <w:b/>
                <w:sz w:val="24"/>
              </w:rPr>
            </w:pPr>
            <w:r w:rsidRPr="00CC28D3">
              <w:rPr>
                <w:rStyle w:val="InstructionsTabelleberschrift"/>
                <w:rFonts w:ascii="Times New Roman" w:hAnsi="Times New Roman"/>
                <w:b w:val="0"/>
                <w:sz w:val="24"/>
                <w:u w:val="none"/>
              </w:rPr>
              <w:t>Pomer, ktorý sa vypočíta ako podiel objemu derivátových činností (riadok 0010)</w:t>
            </w:r>
            <w:r w:rsidR="00CC28D3">
              <w:rPr>
                <w:rStyle w:val="InstructionsTabelleberschrift"/>
                <w:rFonts w:ascii="Times New Roman" w:hAnsi="Times New Roman"/>
                <w:b w:val="0"/>
                <w:sz w:val="24"/>
                <w:u w:val="none"/>
              </w:rPr>
              <w:t xml:space="preserve"> a </w:t>
            </w:r>
            <w:r w:rsidRPr="00CC28D3">
              <w:rPr>
                <w:rStyle w:val="InstructionsTabelleberschrift"/>
                <w:rFonts w:ascii="Times New Roman" w:hAnsi="Times New Roman"/>
                <w:b w:val="0"/>
                <w:sz w:val="24"/>
                <w:u w:val="none"/>
              </w:rPr>
              <w:t xml:space="preserve">celkových aktív (riadok 0040). </w:t>
            </w:r>
          </w:p>
        </w:tc>
      </w:tr>
      <w:tr w:rsidR="00EF74C7" w:rsidRPr="00CC28D3" w14:paraId="0399B49B" w14:textId="77777777" w:rsidTr="00822842">
        <w:tc>
          <w:tcPr>
            <w:tcW w:w="9039" w:type="dxa"/>
            <w:gridSpan w:val="2"/>
            <w:shd w:val="clear" w:color="auto" w:fill="A6A6A6" w:themeFill="background1" w:themeFillShade="A6"/>
          </w:tcPr>
          <w:p w14:paraId="2029EDEF" w14:textId="5859640C" w:rsidR="00EF74C7" w:rsidRPr="00CC28D3" w:rsidRDefault="00EF74C7" w:rsidP="00822842">
            <w:pPr>
              <w:spacing w:beforeLines="60" w:before="144" w:afterLines="60" w:after="144"/>
              <w:rPr>
                <w:rFonts w:ascii="Times New Roman" w:hAnsi="Times New Roman"/>
                <w:b/>
                <w:sz w:val="24"/>
              </w:rPr>
            </w:pPr>
            <w:r w:rsidRPr="00CC28D3">
              <w:rPr>
                <w:rFonts w:ascii="Times New Roman" w:hAnsi="Times New Roman"/>
                <w:b/>
                <w:sz w:val="24"/>
              </w:rPr>
              <w:t>ODCHÝLKA</w:t>
            </w:r>
            <w:r w:rsidR="00CC28D3">
              <w:rPr>
                <w:rFonts w:ascii="Times New Roman" w:hAnsi="Times New Roman"/>
                <w:b/>
                <w:sz w:val="24"/>
              </w:rPr>
              <w:t xml:space="preserve"> V </w:t>
            </w:r>
            <w:r w:rsidRPr="00CC28D3">
              <w:rPr>
                <w:rFonts w:ascii="Times New Roman" w:hAnsi="Times New Roman"/>
                <w:b/>
                <w:sz w:val="24"/>
              </w:rPr>
              <w:t>SÚLADE</w:t>
            </w:r>
            <w:r w:rsidR="00CC28D3">
              <w:rPr>
                <w:rFonts w:ascii="Times New Roman" w:hAnsi="Times New Roman"/>
                <w:b/>
                <w:sz w:val="24"/>
              </w:rPr>
              <w:t xml:space="preserve"> S </w:t>
            </w:r>
            <w:r w:rsidRPr="00CC28D3">
              <w:rPr>
                <w:rFonts w:ascii="Times New Roman" w:hAnsi="Times New Roman"/>
                <w:b/>
                <w:sz w:val="24"/>
              </w:rPr>
              <w:t xml:space="preserve">ČLÁNKOM 273a ODS. 4 </w:t>
            </w:r>
            <w:r w:rsidRPr="00CC28D3">
              <w:rPr>
                <w:rFonts w:ascii="Times New Roman" w:hAnsi="Times New Roman"/>
                <w:b/>
                <w:sz w:val="24"/>
                <w:u w:val="single"/>
              </w:rPr>
              <w:t xml:space="preserve">NARIADENIA (EÚ) </w:t>
            </w:r>
            <w:r w:rsidR="00CC28D3">
              <w:rPr>
                <w:rFonts w:ascii="Times New Roman" w:hAnsi="Times New Roman"/>
                <w:b/>
                <w:sz w:val="24"/>
                <w:u w:val="single"/>
              </w:rPr>
              <w:t>č. </w:t>
            </w:r>
            <w:r w:rsidRPr="00CC28D3">
              <w:rPr>
                <w:rFonts w:ascii="Times New Roman" w:hAnsi="Times New Roman"/>
                <w:b/>
                <w:sz w:val="24"/>
                <w:u w:val="single"/>
              </w:rPr>
              <w:t>575/2013</w:t>
            </w:r>
          </w:p>
        </w:tc>
      </w:tr>
      <w:tr w:rsidR="00EF74C7" w:rsidRPr="00CC28D3" w14:paraId="70D864E0" w14:textId="77777777" w:rsidTr="00822842">
        <w:trPr>
          <w:trHeight w:val="3003"/>
        </w:trPr>
        <w:tc>
          <w:tcPr>
            <w:tcW w:w="852" w:type="dxa"/>
          </w:tcPr>
          <w:p w14:paraId="3AB25C6D"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0060</w:t>
            </w:r>
          </w:p>
        </w:tc>
        <w:tc>
          <w:tcPr>
            <w:tcW w:w="8187" w:type="dxa"/>
          </w:tcPr>
          <w:p w14:paraId="67908B53" w14:textId="197235A3"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Sú splnené podmienky článku 273a ods. 4</w:t>
            </w:r>
            <w:r w:rsidRPr="00CC28D3">
              <w:rPr>
                <w:rFonts w:ascii="Times New Roman" w:hAnsi="Times New Roman"/>
                <w:sz w:val="24"/>
              </w:rPr>
              <w:t xml:space="preserve"> nariadenia (EÚ) </w:t>
            </w:r>
            <w:r w:rsidR="00CC28D3">
              <w:rPr>
                <w:rFonts w:ascii="Times New Roman" w:hAnsi="Times New Roman"/>
                <w:sz w:val="24"/>
              </w:rPr>
              <w:t>č. </w:t>
            </w:r>
            <w:r w:rsidRPr="00CC28D3">
              <w:rPr>
                <w:rFonts w:ascii="Times New Roman" w:hAnsi="Times New Roman"/>
                <w:sz w:val="24"/>
              </w:rPr>
              <w:t>575/2013</w:t>
            </w:r>
            <w:r w:rsidRPr="00CC28D3">
              <w:rPr>
                <w:rStyle w:val="InstructionsTabelleberschrift"/>
                <w:rFonts w:ascii="Times New Roman" w:hAnsi="Times New Roman"/>
                <w:sz w:val="24"/>
              </w:rPr>
              <w:t xml:space="preserve"> vrátane súhlasu príslušných orgánov</w:t>
            </w:r>
            <w:r w:rsidRPr="00CC28D3">
              <w:rPr>
                <w:rFonts w:ascii="Times New Roman" w:hAnsi="Times New Roman"/>
                <w:sz w:val="24"/>
              </w:rPr>
              <w:t>?</w:t>
            </w:r>
          </w:p>
          <w:p w14:paraId="2F3DE52A" w14:textId="511F55BF"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 xml:space="preserve">Článok 273a ods. 4 </w:t>
            </w:r>
            <w:r w:rsidRPr="00CC28D3">
              <w:rPr>
                <w:rFonts w:ascii="Times New Roman" w:hAnsi="Times New Roman"/>
                <w:sz w:val="24"/>
              </w:rPr>
              <w:t xml:space="preserve">nariadenia (EÚ) </w:t>
            </w:r>
            <w:r w:rsidR="00CC28D3">
              <w:rPr>
                <w:rFonts w:ascii="Times New Roman" w:hAnsi="Times New Roman"/>
                <w:sz w:val="24"/>
              </w:rPr>
              <w:t>č. </w:t>
            </w:r>
            <w:r w:rsidRPr="00CC28D3">
              <w:rPr>
                <w:rFonts w:ascii="Times New Roman" w:hAnsi="Times New Roman"/>
                <w:sz w:val="24"/>
              </w:rPr>
              <w:t>575/2013</w:t>
            </w:r>
          </w:p>
          <w:p w14:paraId="748D5951" w14:textId="631A8AD7"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Inštitúcie, ktoré presahujú prahové hodnoty na používanie zjednodušeného prístupu pre kreditné riziko protistrany, ale ktoré napriek tomu používajú jeden</w:t>
            </w:r>
            <w:r w:rsidR="00CC28D3">
              <w:rPr>
                <w:rStyle w:val="InstructionsTabelleberschrift"/>
                <w:rFonts w:ascii="Times New Roman" w:hAnsi="Times New Roman"/>
                <w:b w:val="0"/>
                <w:sz w:val="24"/>
                <w:u w:val="none"/>
              </w:rPr>
              <w:t xml:space="preserve"> z </w:t>
            </w:r>
            <w:r w:rsidRPr="00CC28D3">
              <w:rPr>
                <w:rStyle w:val="InstructionsTabelleberschrift"/>
                <w:rFonts w:ascii="Times New Roman" w:hAnsi="Times New Roman"/>
                <w:b w:val="0"/>
                <w:sz w:val="24"/>
                <w:u w:val="none"/>
              </w:rPr>
              <w:t>takýchto prístupov na základe článku 273a ods. 4</w:t>
            </w:r>
            <w:r w:rsidRPr="00CC28D3">
              <w:rPr>
                <w:rFonts w:ascii="Times New Roman" w:hAnsi="Times New Roman"/>
                <w:sz w:val="24"/>
              </w:rPr>
              <w:t xml:space="preserve"> nariadenia (EÚ) </w:t>
            </w:r>
            <w:r w:rsidR="00CC28D3">
              <w:rPr>
                <w:rFonts w:ascii="Times New Roman" w:hAnsi="Times New Roman"/>
                <w:sz w:val="24"/>
              </w:rPr>
              <w:t>č. </w:t>
            </w:r>
            <w:r w:rsidRPr="00CC28D3">
              <w:rPr>
                <w:rFonts w:ascii="Times New Roman" w:hAnsi="Times New Roman"/>
                <w:sz w:val="24"/>
              </w:rPr>
              <w:t>575/2013</w:t>
            </w:r>
            <w:r w:rsidRPr="00CC28D3">
              <w:rPr>
                <w:rStyle w:val="InstructionsTabelleberschrift"/>
                <w:rFonts w:ascii="Times New Roman" w:hAnsi="Times New Roman"/>
                <w:b w:val="0"/>
                <w:sz w:val="24"/>
                <w:u w:val="none"/>
              </w:rPr>
              <w:t>, uvádzajú (pomocou áno/nie), či spĺňajú všetky podmienky uvedeného článku.</w:t>
            </w:r>
          </w:p>
          <w:p w14:paraId="6DA86931" w14:textId="09DCD06F" w:rsidR="00EF74C7" w:rsidRPr="00CC28D3" w:rsidRDefault="00EF74C7" w:rsidP="00822842">
            <w:pPr>
              <w:spacing w:beforeLines="60" w:before="144" w:afterLines="60" w:after="144"/>
              <w:rPr>
                <w:rFonts w:ascii="Times New Roman" w:hAnsi="Times New Roman"/>
                <w:b/>
                <w:sz w:val="24"/>
              </w:rPr>
            </w:pPr>
            <w:r w:rsidRPr="00CC28D3">
              <w:rPr>
                <w:rStyle w:val="InstructionsTabelleberschrift"/>
                <w:rFonts w:ascii="Times New Roman" w:hAnsi="Times New Roman"/>
                <w:b w:val="0"/>
                <w:sz w:val="24"/>
                <w:u w:val="none"/>
              </w:rPr>
              <w:t>Túto položku vykazujú len inštitúcie, ktoré uplatňujú výnimku</w:t>
            </w:r>
            <w:r w:rsidR="00CC28D3">
              <w:rPr>
                <w:rStyle w:val="InstructionsTabelleberschrift"/>
                <w:rFonts w:ascii="Times New Roman" w:hAnsi="Times New Roman"/>
                <w:b w:val="0"/>
                <w:sz w:val="24"/>
                <w:u w:val="none"/>
              </w:rPr>
              <w:t xml:space="preserve"> v </w:t>
            </w:r>
            <w:r w:rsidRPr="00CC28D3">
              <w:rPr>
                <w:rStyle w:val="InstructionsTabelleberschrift"/>
                <w:rFonts w:ascii="Times New Roman" w:hAnsi="Times New Roman"/>
                <w:b w:val="0"/>
                <w:sz w:val="24"/>
                <w:u w:val="none"/>
              </w:rPr>
              <w:t>súlade</w:t>
            </w:r>
            <w:r w:rsidR="00CC28D3">
              <w:rPr>
                <w:rStyle w:val="InstructionsTabelleberschrift"/>
                <w:rFonts w:ascii="Times New Roman" w:hAnsi="Times New Roman"/>
                <w:b w:val="0"/>
                <w:sz w:val="24"/>
                <w:u w:val="none"/>
              </w:rPr>
              <w:t xml:space="preserve"> s </w:t>
            </w:r>
            <w:r w:rsidRPr="00CC28D3">
              <w:rPr>
                <w:rStyle w:val="InstructionsTabelleberschrift"/>
                <w:rFonts w:ascii="Times New Roman" w:hAnsi="Times New Roman"/>
                <w:b w:val="0"/>
                <w:sz w:val="24"/>
                <w:u w:val="none"/>
              </w:rPr>
              <w:t>článkom 273a ods. 4</w:t>
            </w:r>
            <w:r w:rsidRPr="00CC28D3">
              <w:rPr>
                <w:rFonts w:ascii="Times New Roman" w:hAnsi="Times New Roman"/>
                <w:sz w:val="24"/>
              </w:rPr>
              <w:t xml:space="preserve"> nariadenia (EÚ) </w:t>
            </w:r>
            <w:r w:rsidR="00CC28D3">
              <w:rPr>
                <w:rFonts w:ascii="Times New Roman" w:hAnsi="Times New Roman"/>
                <w:sz w:val="24"/>
              </w:rPr>
              <w:t>č. </w:t>
            </w:r>
            <w:r w:rsidRPr="00CC28D3">
              <w:rPr>
                <w:rFonts w:ascii="Times New Roman" w:hAnsi="Times New Roman"/>
                <w:sz w:val="24"/>
              </w:rPr>
              <w:t>575/2013</w:t>
            </w:r>
            <w:r w:rsidRPr="00CC28D3">
              <w:rPr>
                <w:rStyle w:val="InstructionsTabelleberschrift"/>
                <w:rFonts w:ascii="Times New Roman" w:hAnsi="Times New Roman"/>
                <w:b w:val="0"/>
                <w:sz w:val="24"/>
                <w:u w:val="none"/>
              </w:rPr>
              <w:t>.</w:t>
            </w:r>
          </w:p>
        </w:tc>
      </w:tr>
      <w:tr w:rsidR="00EF74C7" w:rsidRPr="00CC28D3" w14:paraId="454EB33C" w14:textId="77777777" w:rsidTr="00822842">
        <w:tc>
          <w:tcPr>
            <w:tcW w:w="852" w:type="dxa"/>
          </w:tcPr>
          <w:p w14:paraId="38A2CAC1" w14:textId="77777777"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0070</w:t>
            </w:r>
          </w:p>
        </w:tc>
        <w:tc>
          <w:tcPr>
            <w:tcW w:w="8187" w:type="dxa"/>
          </w:tcPr>
          <w:p w14:paraId="58491ECF"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Metóda na výpočet hodnôt expozícií na konsolidovanej úrovni</w:t>
            </w:r>
          </w:p>
          <w:p w14:paraId="082FDD18" w14:textId="42BFC263"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 xml:space="preserve">Článok 273a ods. 4 </w:t>
            </w:r>
            <w:r w:rsidRPr="00CC28D3">
              <w:rPr>
                <w:rFonts w:ascii="Times New Roman" w:hAnsi="Times New Roman"/>
                <w:sz w:val="24"/>
              </w:rPr>
              <w:t xml:space="preserve">nariadenia (EÚ) </w:t>
            </w:r>
            <w:r w:rsidR="00CC28D3">
              <w:rPr>
                <w:rFonts w:ascii="Times New Roman" w:hAnsi="Times New Roman"/>
                <w:sz w:val="24"/>
              </w:rPr>
              <w:t>č. </w:t>
            </w:r>
            <w:r w:rsidRPr="00CC28D3">
              <w:rPr>
                <w:rFonts w:ascii="Times New Roman" w:hAnsi="Times New Roman"/>
                <w:sz w:val="24"/>
              </w:rPr>
              <w:t>575/2013</w:t>
            </w:r>
          </w:p>
          <w:p w14:paraId="2F4198CB" w14:textId="490914FE"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Metóda na výpočet hodnôt expozícií derivátových pozícií na konsolidovanom základe, ktorá sa používa aj na úrovni samostatného subjektu</w:t>
            </w:r>
            <w:r w:rsidR="00CC28D3">
              <w:rPr>
                <w:rStyle w:val="InstructionsTabelleberschrift"/>
                <w:rFonts w:ascii="Times New Roman" w:hAnsi="Times New Roman"/>
                <w:b w:val="0"/>
                <w:sz w:val="24"/>
                <w:u w:val="none"/>
              </w:rPr>
              <w:t xml:space="preserve"> v </w:t>
            </w:r>
            <w:r w:rsidRPr="00CC28D3">
              <w:rPr>
                <w:rStyle w:val="InstructionsTabelleberschrift"/>
                <w:rFonts w:ascii="Times New Roman" w:hAnsi="Times New Roman"/>
                <w:b w:val="0"/>
                <w:sz w:val="24"/>
                <w:u w:val="none"/>
              </w:rPr>
              <w:t>súlade</w:t>
            </w:r>
            <w:r w:rsidR="00CC28D3">
              <w:rPr>
                <w:rStyle w:val="InstructionsTabelleberschrift"/>
                <w:rFonts w:ascii="Times New Roman" w:hAnsi="Times New Roman"/>
                <w:b w:val="0"/>
                <w:sz w:val="24"/>
                <w:u w:val="none"/>
              </w:rPr>
              <w:t xml:space="preserve"> s </w:t>
            </w:r>
            <w:r w:rsidRPr="00CC28D3">
              <w:rPr>
                <w:rStyle w:val="InstructionsTabelleberschrift"/>
                <w:rFonts w:ascii="Times New Roman" w:hAnsi="Times New Roman"/>
                <w:b w:val="0"/>
                <w:sz w:val="24"/>
                <w:u w:val="none"/>
              </w:rPr>
              <w:t>článkom 273a ods. 4</w:t>
            </w:r>
            <w:r w:rsidRPr="00CC28D3">
              <w:rPr>
                <w:rFonts w:ascii="Times New Roman" w:hAnsi="Times New Roman"/>
                <w:sz w:val="24"/>
              </w:rPr>
              <w:t xml:space="preserve"> nariadenia (EÚ) </w:t>
            </w:r>
            <w:r w:rsidR="00CC28D3">
              <w:rPr>
                <w:rFonts w:ascii="Times New Roman" w:hAnsi="Times New Roman"/>
                <w:sz w:val="24"/>
              </w:rPr>
              <w:t>č. </w:t>
            </w:r>
            <w:r w:rsidRPr="00CC28D3">
              <w:rPr>
                <w:rFonts w:ascii="Times New Roman" w:hAnsi="Times New Roman"/>
                <w:sz w:val="24"/>
              </w:rPr>
              <w:t>575/2013</w:t>
            </w:r>
            <w:r w:rsidRPr="00CC28D3">
              <w:rPr>
                <w:rStyle w:val="InstructionsTabelleberschrift"/>
                <w:rFonts w:ascii="Times New Roman" w:hAnsi="Times New Roman"/>
                <w:b w:val="0"/>
                <w:sz w:val="24"/>
                <w:u w:val="none"/>
              </w:rPr>
              <w:t>:</w:t>
            </w:r>
          </w:p>
          <w:p w14:paraId="028F6AA2" w14:textId="77777777" w:rsidR="00EF74C7" w:rsidRP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 OEM: metóda pôvodnej expozície,</w:t>
            </w:r>
          </w:p>
          <w:p w14:paraId="2CF73B28" w14:textId="77777777" w:rsidR="00CC28D3" w:rsidRDefault="00EF74C7" w:rsidP="00822842">
            <w:pPr>
              <w:spacing w:beforeLines="60" w:before="144" w:afterLines="60" w:after="144"/>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 zjednodušený prístup SA-CCR: zjednodušený štandardizovaný prístup pre kreditné riziko protistrany</w:t>
            </w:r>
            <w:r w:rsidR="00CC28D3">
              <w:rPr>
                <w:rStyle w:val="InstructionsTabelleberschrift"/>
                <w:rFonts w:ascii="Times New Roman" w:hAnsi="Times New Roman"/>
                <w:b w:val="0"/>
                <w:sz w:val="24"/>
                <w:u w:val="none"/>
              </w:rPr>
              <w:t>.</w:t>
            </w:r>
          </w:p>
          <w:p w14:paraId="6D893F4F" w14:textId="00A73D70" w:rsidR="00EF74C7" w:rsidRPr="00CC28D3" w:rsidRDefault="00EF74C7" w:rsidP="00822842">
            <w:pPr>
              <w:spacing w:beforeLines="60" w:before="144" w:afterLines="60" w:after="144"/>
              <w:rPr>
                <w:rFonts w:ascii="Times New Roman" w:hAnsi="Times New Roman"/>
                <w:b/>
                <w:sz w:val="24"/>
              </w:rPr>
            </w:pPr>
            <w:r w:rsidRPr="00CC28D3">
              <w:rPr>
                <w:rStyle w:val="InstructionsTabelleberschrift"/>
                <w:rFonts w:ascii="Times New Roman" w:hAnsi="Times New Roman"/>
                <w:b w:val="0"/>
                <w:sz w:val="24"/>
                <w:u w:val="none"/>
              </w:rPr>
              <w:t>Túto položku vykazujú len inštitúcie, ktoré uplatňujú výnimku</w:t>
            </w:r>
            <w:r w:rsidR="00CC28D3">
              <w:rPr>
                <w:rStyle w:val="InstructionsTabelleberschrift"/>
                <w:rFonts w:ascii="Times New Roman" w:hAnsi="Times New Roman"/>
                <w:b w:val="0"/>
                <w:sz w:val="24"/>
                <w:u w:val="none"/>
              </w:rPr>
              <w:t xml:space="preserve"> v </w:t>
            </w:r>
            <w:r w:rsidRPr="00CC28D3">
              <w:rPr>
                <w:rStyle w:val="InstructionsTabelleberschrift"/>
                <w:rFonts w:ascii="Times New Roman" w:hAnsi="Times New Roman"/>
                <w:b w:val="0"/>
                <w:sz w:val="24"/>
                <w:u w:val="none"/>
              </w:rPr>
              <w:t>súlade</w:t>
            </w:r>
            <w:r w:rsidR="00CC28D3">
              <w:rPr>
                <w:rStyle w:val="InstructionsTabelleberschrift"/>
                <w:rFonts w:ascii="Times New Roman" w:hAnsi="Times New Roman"/>
                <w:b w:val="0"/>
                <w:sz w:val="24"/>
                <w:u w:val="none"/>
              </w:rPr>
              <w:t xml:space="preserve"> s </w:t>
            </w:r>
            <w:r w:rsidRPr="00CC28D3">
              <w:rPr>
                <w:rStyle w:val="InstructionsTabelleberschrift"/>
                <w:rFonts w:ascii="Times New Roman" w:hAnsi="Times New Roman"/>
                <w:b w:val="0"/>
                <w:sz w:val="24"/>
                <w:u w:val="none"/>
              </w:rPr>
              <w:t>článkom 273a ods. 4</w:t>
            </w:r>
            <w:r w:rsidRPr="00CC28D3">
              <w:rPr>
                <w:rFonts w:ascii="Times New Roman" w:hAnsi="Times New Roman"/>
                <w:sz w:val="24"/>
              </w:rPr>
              <w:t xml:space="preserve"> nariadenia (EÚ) </w:t>
            </w:r>
            <w:r w:rsidR="00CC28D3">
              <w:rPr>
                <w:rFonts w:ascii="Times New Roman" w:hAnsi="Times New Roman"/>
                <w:sz w:val="24"/>
              </w:rPr>
              <w:t>č. </w:t>
            </w:r>
            <w:r w:rsidRPr="00CC28D3">
              <w:rPr>
                <w:rFonts w:ascii="Times New Roman" w:hAnsi="Times New Roman"/>
                <w:sz w:val="24"/>
              </w:rPr>
              <w:t>575/2013</w:t>
            </w:r>
            <w:r w:rsidRPr="00CC28D3">
              <w:rPr>
                <w:rStyle w:val="InstructionsTabelleberschrift"/>
                <w:rFonts w:ascii="Times New Roman" w:hAnsi="Times New Roman"/>
                <w:b w:val="0"/>
                <w:sz w:val="24"/>
                <w:u w:val="none"/>
              </w:rPr>
              <w:t>.</w:t>
            </w:r>
          </w:p>
        </w:tc>
      </w:tr>
    </w:tbl>
    <w:p w14:paraId="12D550AA" w14:textId="77777777" w:rsidR="00CC28D3" w:rsidRDefault="00EF74C7" w:rsidP="00EF74C7">
      <w:pPr>
        <w:pStyle w:val="Instructionsberschrift2"/>
        <w:numPr>
          <w:ilvl w:val="2"/>
          <w:numId w:val="29"/>
        </w:numPr>
        <w:rPr>
          <w:rFonts w:ascii="Times New Roman" w:hAnsi="Times New Roman"/>
          <w:sz w:val="24"/>
        </w:rPr>
      </w:pPr>
      <w:bookmarkStart w:id="22" w:name="_Toc19715806"/>
      <w:bookmarkStart w:id="23" w:name="_Toc151714446"/>
      <w:r w:rsidRPr="00CC28D3">
        <w:rPr>
          <w:rFonts w:ascii="Times New Roman" w:hAnsi="Times New Roman"/>
          <w:sz w:val="24"/>
        </w:rPr>
        <w:lastRenderedPageBreak/>
        <w:t>C 34.02 – Expozície voči CCR podľa prístupu</w:t>
      </w:r>
      <w:bookmarkEnd w:id="22"/>
      <w:bookmarkEnd w:id="23"/>
    </w:p>
    <w:p w14:paraId="3FC7FDB8" w14:textId="1C3AB242" w:rsidR="00EF74C7" w:rsidRPr="00CC28D3"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sidRPr="00CC28D3">
        <w:rPr>
          <w:rFonts w:ascii="Times New Roman" w:hAnsi="Times New Roman"/>
          <w:sz w:val="24"/>
        </w:rPr>
        <w:t>Všeobecné poznámky</w:t>
      </w:r>
      <w:bookmarkEnd w:id="24"/>
      <w:bookmarkEnd w:id="25"/>
    </w:p>
    <w:p w14:paraId="765D46FE" w14:textId="2EE27B6D"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124</w:t>
      </w:r>
      <w:r w:rsidRPr="00CC28D3">
        <w:fldChar w:fldCharType="end"/>
      </w:r>
      <w:r w:rsidRPr="00CC28D3">
        <w:t>. Inštitúcie vykazujú vzor osobitne pre všetky expozície voči CCR</w:t>
      </w:r>
      <w:r w:rsidR="00CC28D3">
        <w:t xml:space="preserve"> a </w:t>
      </w:r>
      <w:r w:rsidRPr="00CC28D3">
        <w:t>pre všetky expozície voči CCR okrem expozícií voči centrálnym protistranám (CCP)</w:t>
      </w:r>
      <w:r w:rsidR="00CC28D3">
        <w:t xml:space="preserve"> v </w:t>
      </w:r>
      <w:r w:rsidRPr="00CC28D3">
        <w:t>zmysle vymedzenia na účely vzoru C 34.10.</w:t>
      </w:r>
    </w:p>
    <w:p w14:paraId="73798597"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sidRPr="00CC28D3">
        <w:rPr>
          <w:rFonts w:ascii="Times New Roman" w:hAnsi="Times New Roman"/>
          <w:sz w:val="24"/>
        </w:rPr>
        <w:t>Pokyny týkajúce sa konkrétnych pozícií</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CC28D3" w:rsidRDefault="00EF74C7" w:rsidP="00822842">
            <w:pPr>
              <w:autoSpaceDE w:val="0"/>
              <w:autoSpaceDN w:val="0"/>
              <w:adjustRightInd w:val="0"/>
              <w:rPr>
                <w:rFonts w:ascii="Times New Roman" w:hAnsi="Times New Roman"/>
                <w:b/>
                <w:sz w:val="24"/>
              </w:rPr>
            </w:pPr>
            <w:r w:rsidRPr="00CC28D3">
              <w:rPr>
                <w:rFonts w:ascii="Times New Roman" w:hAnsi="Times New Roman"/>
                <w:b/>
                <w:sz w:val="24"/>
              </w:rPr>
              <w:t>Stĺpce</w:t>
            </w:r>
          </w:p>
        </w:tc>
      </w:tr>
      <w:tr w:rsidR="00EF74C7" w:rsidRPr="00CC28D3" w14:paraId="5AF62E03" w14:textId="77777777" w:rsidTr="00822842">
        <w:trPr>
          <w:trHeight w:val="680"/>
        </w:trPr>
        <w:tc>
          <w:tcPr>
            <w:tcW w:w="1384" w:type="dxa"/>
          </w:tcPr>
          <w:p w14:paraId="0ECB7AE7" w14:textId="77777777" w:rsidR="00EF74C7" w:rsidRPr="00CC28D3" w:rsidRDefault="00EF74C7" w:rsidP="00822842">
            <w:pPr>
              <w:pStyle w:val="Applicationdirecte"/>
              <w:spacing w:before="0" w:after="0"/>
            </w:pPr>
            <w:r w:rsidRPr="00CC28D3">
              <w:t>0010</w:t>
            </w:r>
          </w:p>
        </w:tc>
        <w:tc>
          <w:tcPr>
            <w:tcW w:w="7655" w:type="dxa"/>
            <w:vAlign w:val="center"/>
          </w:tcPr>
          <w:p w14:paraId="2F369CA7"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POČET PROTISTRÁN</w:t>
            </w:r>
          </w:p>
          <w:p w14:paraId="5D247700" w14:textId="77777777" w:rsidR="00EF74C7" w:rsidRPr="00CC28D3" w:rsidRDefault="00EF74C7" w:rsidP="00822842">
            <w:pPr>
              <w:autoSpaceDE w:val="0"/>
              <w:autoSpaceDN w:val="0"/>
              <w:adjustRightInd w:val="0"/>
              <w:spacing w:before="60"/>
              <w:rPr>
                <w:rFonts w:ascii="Times New Roman" w:hAnsi="Times New Roman"/>
                <w:i/>
                <w:sz w:val="24"/>
              </w:rPr>
            </w:pPr>
            <w:r w:rsidRPr="00CC28D3">
              <w:rPr>
                <w:rFonts w:ascii="Times New Roman" w:hAnsi="Times New Roman"/>
                <w:sz w:val="24"/>
              </w:rPr>
              <w:t>Počet individuálnych protistrán, vo vzťahu ku ktorým má inštitúcia expozície voči CCR.</w:t>
            </w:r>
          </w:p>
        </w:tc>
      </w:tr>
      <w:tr w:rsidR="00EF74C7" w:rsidRPr="00CC28D3" w14:paraId="47187F35" w14:textId="77777777" w:rsidTr="00822842">
        <w:trPr>
          <w:trHeight w:val="416"/>
        </w:trPr>
        <w:tc>
          <w:tcPr>
            <w:tcW w:w="1384" w:type="dxa"/>
          </w:tcPr>
          <w:p w14:paraId="31502253" w14:textId="77777777" w:rsidR="00EF74C7" w:rsidRPr="00CC28D3" w:rsidRDefault="00EF74C7" w:rsidP="00822842">
            <w:pPr>
              <w:pStyle w:val="Applicationdirecte"/>
              <w:spacing w:before="0" w:after="0"/>
            </w:pPr>
            <w:r w:rsidRPr="00CC28D3">
              <w:t>0020</w:t>
            </w:r>
          </w:p>
        </w:tc>
        <w:tc>
          <w:tcPr>
            <w:tcW w:w="7655" w:type="dxa"/>
            <w:vAlign w:val="center"/>
          </w:tcPr>
          <w:p w14:paraId="6A419FF1"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POČET TRANSAKCIÍ</w:t>
            </w:r>
          </w:p>
          <w:p w14:paraId="72A1DFED" w14:textId="5C11DAA4" w:rsidR="00EF74C7" w:rsidRPr="00CC28D3" w:rsidRDefault="00EF74C7" w:rsidP="00822842">
            <w:pPr>
              <w:autoSpaceDE w:val="0"/>
              <w:autoSpaceDN w:val="0"/>
              <w:adjustRightInd w:val="0"/>
              <w:spacing w:before="60"/>
              <w:rPr>
                <w:rFonts w:ascii="Times New Roman" w:hAnsi="Times New Roman"/>
                <w:sz w:val="24"/>
              </w:rPr>
            </w:pPr>
            <w:r w:rsidRPr="00CC28D3">
              <w:rPr>
                <w:rFonts w:ascii="Times New Roman" w:hAnsi="Times New Roman"/>
                <w:sz w:val="24"/>
              </w:rPr>
              <w:t>Počet transakcií, na ktoré sa vzťahuje kreditné riziko protistrany</w:t>
            </w:r>
            <w:r w:rsidR="00CC28D3">
              <w:rPr>
                <w:rFonts w:ascii="Times New Roman" w:hAnsi="Times New Roman"/>
                <w:sz w:val="24"/>
              </w:rPr>
              <w:t xml:space="preserve"> k </w:t>
            </w:r>
            <w:r w:rsidRPr="00CC28D3">
              <w:rPr>
                <w:rFonts w:ascii="Times New Roman" w:hAnsi="Times New Roman"/>
                <w:sz w:val="24"/>
              </w:rPr>
              <w:t>dátumu vykazovania. Treba poznamenať, že obchodné číselné údaje centrálnej protistrany by nemali zahŕňať kladné ani záporné peňažné toky, ale celkové pozície</w:t>
            </w:r>
            <w:r w:rsidR="00CC28D3">
              <w:rPr>
                <w:rFonts w:ascii="Times New Roman" w:hAnsi="Times New Roman"/>
                <w:sz w:val="24"/>
              </w:rPr>
              <w:t xml:space="preserve"> v </w:t>
            </w:r>
            <w:r w:rsidRPr="00CC28D3">
              <w:rPr>
                <w:rFonts w:ascii="Times New Roman" w:hAnsi="Times New Roman"/>
                <w:sz w:val="24"/>
              </w:rPr>
              <w:t>portfóliu CCR</w:t>
            </w:r>
            <w:r w:rsidR="00CC28D3">
              <w:rPr>
                <w:rFonts w:ascii="Times New Roman" w:hAnsi="Times New Roman"/>
                <w:sz w:val="24"/>
              </w:rPr>
              <w:t xml:space="preserve"> k </w:t>
            </w:r>
            <w:r w:rsidRPr="00CC28D3">
              <w:rPr>
                <w:rFonts w:ascii="Times New Roman" w:hAnsi="Times New Roman"/>
                <w:sz w:val="24"/>
              </w:rPr>
              <w:t>dátumu vykazovania. Okrem toho sa derivátový nástroj alebo SFT, ktoré sú rozdelené na dve alebo viac častí (aspoň) na účely modelovania, stále považujú za jedinú transakciu.</w:t>
            </w:r>
          </w:p>
        </w:tc>
      </w:tr>
      <w:tr w:rsidR="00EF74C7" w:rsidRPr="00CC28D3" w14:paraId="095C33EA" w14:textId="77777777" w:rsidTr="00822842">
        <w:trPr>
          <w:trHeight w:val="680"/>
        </w:trPr>
        <w:tc>
          <w:tcPr>
            <w:tcW w:w="1384" w:type="dxa"/>
          </w:tcPr>
          <w:p w14:paraId="11D4F4B1" w14:textId="77777777" w:rsidR="00EF74C7" w:rsidRPr="00CC28D3" w:rsidRDefault="00EF74C7" w:rsidP="00822842">
            <w:pPr>
              <w:pStyle w:val="Applicationdirecte"/>
              <w:spacing w:before="0" w:after="0"/>
            </w:pPr>
            <w:r w:rsidRPr="00CC28D3">
              <w:t>0030</w:t>
            </w:r>
          </w:p>
        </w:tc>
        <w:tc>
          <w:tcPr>
            <w:tcW w:w="7655" w:type="dxa"/>
            <w:vAlign w:val="center"/>
          </w:tcPr>
          <w:p w14:paraId="31BBD503"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POMYSELNÉ HODNOTY</w:t>
            </w:r>
          </w:p>
          <w:p w14:paraId="0DE79C19" w14:textId="550FFC57" w:rsidR="00EF74C7" w:rsidRPr="00CC28D3" w:rsidRDefault="00EF74C7" w:rsidP="00822842">
            <w:pPr>
              <w:keepNext/>
              <w:spacing w:before="60"/>
              <w:rPr>
                <w:rFonts w:ascii="Times New Roman" w:hAnsi="Times New Roman"/>
                <w:sz w:val="24"/>
              </w:rPr>
            </w:pPr>
            <w:r w:rsidRPr="00CC28D3">
              <w:rPr>
                <w:rFonts w:ascii="Times New Roman" w:hAnsi="Times New Roman"/>
                <w:sz w:val="24"/>
              </w:rPr>
              <w:t>Súčet pomyselných hodnôt derivátov</w:t>
            </w:r>
            <w:r w:rsidR="00CC28D3">
              <w:rPr>
                <w:rFonts w:ascii="Times New Roman" w:hAnsi="Times New Roman"/>
                <w:sz w:val="24"/>
              </w:rPr>
              <w:t xml:space="preserve"> a </w:t>
            </w:r>
            <w:r w:rsidRPr="00CC28D3">
              <w:rPr>
                <w:rFonts w:ascii="Times New Roman" w:hAnsi="Times New Roman"/>
                <w:sz w:val="24"/>
              </w:rPr>
              <w:t>SFT pred akýmkoľvek vzájomným započítavaním</w:t>
            </w:r>
            <w:r w:rsidR="00CC28D3">
              <w:rPr>
                <w:rFonts w:ascii="Times New Roman" w:hAnsi="Times New Roman"/>
                <w:sz w:val="24"/>
              </w:rPr>
              <w:t xml:space="preserve"> a </w:t>
            </w:r>
            <w:r w:rsidRPr="00CC28D3">
              <w:rPr>
                <w:rFonts w:ascii="Times New Roman" w:hAnsi="Times New Roman"/>
                <w:sz w:val="24"/>
              </w:rPr>
              <w:t>bez akýchkoľvek úprav</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279b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5C1FBFBA" w14:textId="77777777" w:rsidTr="00822842">
        <w:trPr>
          <w:trHeight w:val="680"/>
        </w:trPr>
        <w:tc>
          <w:tcPr>
            <w:tcW w:w="1384" w:type="dxa"/>
          </w:tcPr>
          <w:p w14:paraId="314060C4" w14:textId="77777777" w:rsidR="00EF74C7" w:rsidRPr="00CC28D3" w:rsidRDefault="00EF74C7" w:rsidP="00822842">
            <w:pPr>
              <w:pStyle w:val="Applicationdirecte"/>
              <w:spacing w:before="0" w:after="0"/>
            </w:pPr>
            <w:r w:rsidRPr="00CC28D3">
              <w:t>0040</w:t>
            </w:r>
          </w:p>
        </w:tc>
        <w:tc>
          <w:tcPr>
            <w:tcW w:w="7655" w:type="dxa"/>
            <w:vAlign w:val="center"/>
          </w:tcPr>
          <w:p w14:paraId="0DCD00FE"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SÚČASNÁ TRHOVÁ HODNOTA (CMV), KLADNÁ</w:t>
            </w:r>
          </w:p>
          <w:p w14:paraId="0CABD62F" w14:textId="69B71D2E" w:rsidR="00EF74C7" w:rsidRPr="00CC28D3" w:rsidRDefault="00EF74C7" w:rsidP="00822842">
            <w:pPr>
              <w:keepNext/>
              <w:spacing w:before="60"/>
              <w:rPr>
                <w:rFonts w:ascii="Times New Roman" w:hAnsi="Times New Roman"/>
                <w:sz w:val="24"/>
              </w:rPr>
            </w:pPr>
            <w:r w:rsidRPr="00CC28D3">
              <w:rPr>
                <w:rFonts w:ascii="Times New Roman" w:hAnsi="Times New Roman"/>
                <w:sz w:val="24"/>
              </w:rPr>
              <w:t xml:space="preserve">Článok 272 ods. 12 nariadenia (EÚ) </w:t>
            </w:r>
            <w:r w:rsidR="00CC28D3">
              <w:rPr>
                <w:rFonts w:ascii="Times New Roman" w:hAnsi="Times New Roman"/>
                <w:sz w:val="24"/>
              </w:rPr>
              <w:t>č. </w:t>
            </w:r>
            <w:r w:rsidRPr="00CC28D3">
              <w:rPr>
                <w:rFonts w:ascii="Times New Roman" w:hAnsi="Times New Roman"/>
                <w:sz w:val="24"/>
              </w:rPr>
              <w:t>575/2013</w:t>
            </w:r>
          </w:p>
          <w:p w14:paraId="37448E9C" w14:textId="38008C3C" w:rsidR="00EF74C7" w:rsidRPr="00CC28D3" w:rsidRDefault="00EF74C7" w:rsidP="00822842">
            <w:pPr>
              <w:keepNext/>
              <w:spacing w:before="60"/>
              <w:rPr>
                <w:rFonts w:ascii="Times New Roman" w:hAnsi="Times New Roman"/>
                <w:sz w:val="24"/>
              </w:rPr>
            </w:pPr>
            <w:r w:rsidRPr="00CC28D3">
              <w:rPr>
                <w:rFonts w:ascii="Times New Roman" w:hAnsi="Times New Roman"/>
                <w:sz w:val="24"/>
              </w:rPr>
              <w:t>Súčet súčasných trhových hodnôt (CMV) všetkých súborov vzájomného započítavania</w:t>
            </w:r>
            <w:r w:rsidR="00CC28D3">
              <w:rPr>
                <w:rFonts w:ascii="Times New Roman" w:hAnsi="Times New Roman"/>
                <w:sz w:val="24"/>
              </w:rPr>
              <w:t xml:space="preserve"> s </w:t>
            </w:r>
            <w:r w:rsidRPr="00CC28D3">
              <w:rPr>
                <w:rFonts w:ascii="Times New Roman" w:hAnsi="Times New Roman"/>
                <w:sz w:val="24"/>
              </w:rPr>
              <w:t>kladnou CMV</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272 ods. 12 nariadenia (EÚ) </w:t>
            </w:r>
            <w:r w:rsidR="00CC28D3">
              <w:rPr>
                <w:rFonts w:ascii="Times New Roman" w:hAnsi="Times New Roman"/>
                <w:sz w:val="24"/>
              </w:rPr>
              <w:t>č. </w:t>
            </w:r>
            <w:r w:rsidRPr="00CC28D3">
              <w:rPr>
                <w:rFonts w:ascii="Times New Roman" w:hAnsi="Times New Roman"/>
                <w:sz w:val="24"/>
              </w:rPr>
              <w:t xml:space="preserve">575/2013. </w:t>
            </w:r>
          </w:p>
        </w:tc>
      </w:tr>
      <w:tr w:rsidR="00EF74C7" w:rsidRPr="00CC28D3" w14:paraId="267FA73E" w14:textId="77777777" w:rsidTr="00822842">
        <w:trPr>
          <w:trHeight w:val="680"/>
        </w:trPr>
        <w:tc>
          <w:tcPr>
            <w:tcW w:w="1384" w:type="dxa"/>
          </w:tcPr>
          <w:p w14:paraId="490B203B" w14:textId="77777777" w:rsidR="00EF74C7" w:rsidRPr="00CC28D3" w:rsidRDefault="00EF74C7" w:rsidP="00822842">
            <w:pPr>
              <w:pStyle w:val="Applicationdirecte"/>
              <w:spacing w:before="0" w:after="0"/>
            </w:pPr>
            <w:r w:rsidRPr="00CC28D3">
              <w:t>0050</w:t>
            </w:r>
          </w:p>
        </w:tc>
        <w:tc>
          <w:tcPr>
            <w:tcW w:w="7655" w:type="dxa"/>
            <w:vAlign w:val="center"/>
          </w:tcPr>
          <w:p w14:paraId="4AE05338"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SÚČASNÁ TRHOVÁ HODNOTA (CMV), ZÁPORNÁ</w:t>
            </w:r>
          </w:p>
          <w:p w14:paraId="1AE578BE" w14:textId="02471738" w:rsidR="00EF74C7" w:rsidRPr="00CC28D3" w:rsidRDefault="00EF74C7" w:rsidP="00822842">
            <w:pPr>
              <w:keepNext/>
              <w:spacing w:before="60"/>
              <w:rPr>
                <w:rFonts w:ascii="Times New Roman" w:hAnsi="Times New Roman"/>
                <w:sz w:val="24"/>
              </w:rPr>
            </w:pPr>
            <w:r w:rsidRPr="00CC28D3">
              <w:rPr>
                <w:rFonts w:ascii="Times New Roman" w:hAnsi="Times New Roman"/>
                <w:sz w:val="24"/>
              </w:rPr>
              <w:t xml:space="preserve">Článok 272 ods. 12 nariadenia (EÚ) </w:t>
            </w:r>
            <w:r w:rsidR="00CC28D3">
              <w:rPr>
                <w:rFonts w:ascii="Times New Roman" w:hAnsi="Times New Roman"/>
                <w:sz w:val="24"/>
              </w:rPr>
              <w:t>č. </w:t>
            </w:r>
            <w:r w:rsidRPr="00CC28D3">
              <w:rPr>
                <w:rFonts w:ascii="Times New Roman" w:hAnsi="Times New Roman"/>
                <w:sz w:val="24"/>
              </w:rPr>
              <w:t>575/2013</w:t>
            </w:r>
          </w:p>
          <w:p w14:paraId="7055CBFD" w14:textId="043F1A9F" w:rsidR="00EF74C7" w:rsidRPr="00CC28D3" w:rsidRDefault="00EF74C7" w:rsidP="00822842">
            <w:pPr>
              <w:keepNext/>
              <w:spacing w:before="60"/>
              <w:rPr>
                <w:rStyle w:val="InstructionsTabelleberschrift"/>
                <w:rFonts w:ascii="Times New Roman" w:hAnsi="Times New Roman"/>
                <w:sz w:val="24"/>
              </w:rPr>
            </w:pPr>
            <w:r w:rsidRPr="00CC28D3">
              <w:rPr>
                <w:rFonts w:ascii="Times New Roman" w:hAnsi="Times New Roman"/>
                <w:sz w:val="24"/>
              </w:rPr>
              <w:t>Súčet absolútnych súčasných trhových hodnôt (CMV) všetkých súborov vzájomného započítavania so zápornou CMV</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272 ods. 12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0BB7F6EF" w14:textId="77777777" w:rsidTr="00822842">
        <w:trPr>
          <w:trHeight w:val="680"/>
        </w:trPr>
        <w:tc>
          <w:tcPr>
            <w:tcW w:w="1384" w:type="dxa"/>
          </w:tcPr>
          <w:p w14:paraId="0A3FB298" w14:textId="77777777" w:rsidR="00EF74C7" w:rsidRPr="00CC28D3" w:rsidRDefault="00EF74C7" w:rsidP="00822842">
            <w:pPr>
              <w:pStyle w:val="Fait"/>
            </w:pPr>
            <w:r w:rsidRPr="00CC28D3">
              <w:lastRenderedPageBreak/>
              <w:t>0060</w:t>
            </w:r>
          </w:p>
        </w:tc>
        <w:tc>
          <w:tcPr>
            <w:tcW w:w="7655" w:type="dxa"/>
            <w:vAlign w:val="center"/>
          </w:tcPr>
          <w:p w14:paraId="48B3261E" w14:textId="77777777" w:rsidR="00EF74C7" w:rsidRPr="00CC28D3" w:rsidRDefault="00EF74C7" w:rsidP="00822842">
            <w:pPr>
              <w:keepNext/>
              <w:spacing w:before="60"/>
              <w:rPr>
                <w:rStyle w:val="InstructionsTabelleberschrift"/>
                <w:rFonts w:ascii="Times New Roman" w:hAnsi="Times New Roman"/>
                <w:b w:val="0"/>
                <w:bCs w:val="0"/>
                <w:sz w:val="24"/>
              </w:rPr>
            </w:pPr>
            <w:r w:rsidRPr="00CC28D3">
              <w:rPr>
                <w:rStyle w:val="InstructionsTabelleberschrift"/>
                <w:rFonts w:ascii="Times New Roman" w:hAnsi="Times New Roman"/>
                <w:sz w:val="24"/>
              </w:rPr>
              <w:t>VARIAČNÁ MARŽA (VM), PRIJATÁ</w:t>
            </w:r>
          </w:p>
          <w:p w14:paraId="1BCA2FE2" w14:textId="3276499D" w:rsidR="00EF74C7" w:rsidRPr="00CC28D3" w:rsidRDefault="00EF74C7" w:rsidP="00822842">
            <w:pPr>
              <w:keepNext/>
              <w:spacing w:before="60"/>
              <w:rPr>
                <w:rFonts w:ascii="Times New Roman" w:hAnsi="Times New Roman"/>
                <w:sz w:val="24"/>
              </w:rPr>
            </w:pPr>
            <w:r w:rsidRPr="00CC28D3">
              <w:rPr>
                <w:rFonts w:ascii="Times New Roman" w:hAnsi="Times New Roman"/>
                <w:sz w:val="24"/>
              </w:rPr>
              <w:t>Článok 275 ods. 2, článok 275 ods. 3</w:t>
            </w:r>
            <w:r w:rsidR="00CC28D3">
              <w:rPr>
                <w:rFonts w:ascii="Times New Roman" w:hAnsi="Times New Roman"/>
                <w:sz w:val="24"/>
              </w:rPr>
              <w:t xml:space="preserve"> a </w:t>
            </w:r>
            <w:r w:rsidRPr="00CC28D3">
              <w:rPr>
                <w:rFonts w:ascii="Times New Roman" w:hAnsi="Times New Roman"/>
                <w:sz w:val="24"/>
              </w:rPr>
              <w:t xml:space="preserve">článok 276 nariadenia (EÚ) </w:t>
            </w:r>
            <w:r w:rsidR="00CC28D3">
              <w:rPr>
                <w:rFonts w:ascii="Times New Roman" w:hAnsi="Times New Roman"/>
                <w:sz w:val="24"/>
              </w:rPr>
              <w:t>č. </w:t>
            </w:r>
            <w:r w:rsidRPr="00CC28D3">
              <w:rPr>
                <w:rFonts w:ascii="Times New Roman" w:hAnsi="Times New Roman"/>
                <w:sz w:val="24"/>
              </w:rPr>
              <w:t>575/2013</w:t>
            </w:r>
          </w:p>
          <w:p w14:paraId="369BA28E" w14:textId="44DA3188" w:rsidR="00EF74C7" w:rsidRPr="00CC28D3" w:rsidRDefault="00EF74C7" w:rsidP="00822842">
            <w:pPr>
              <w:keepNext/>
              <w:spacing w:before="60"/>
              <w:rPr>
                <w:rFonts w:ascii="Times New Roman" w:hAnsi="Times New Roman"/>
                <w:sz w:val="24"/>
              </w:rPr>
            </w:pPr>
            <w:r w:rsidRPr="00CC28D3">
              <w:rPr>
                <w:rFonts w:ascii="Times New Roman" w:hAnsi="Times New Roman"/>
                <w:sz w:val="24"/>
              </w:rPr>
              <w:t>Súčet hodnôt variačnej marže (VM) všetkých dohôd</w:t>
            </w:r>
            <w:r w:rsidR="00CC28D3">
              <w:rPr>
                <w:rFonts w:ascii="Times New Roman" w:hAnsi="Times New Roman"/>
                <w:sz w:val="24"/>
              </w:rPr>
              <w:t xml:space="preserve"> o </w:t>
            </w:r>
            <w:proofErr w:type="spellStart"/>
            <w:r w:rsidRPr="00CC28D3">
              <w:rPr>
                <w:rFonts w:ascii="Times New Roman" w:hAnsi="Times New Roman"/>
                <w:sz w:val="24"/>
              </w:rPr>
              <w:t>dozabezpečení</w:t>
            </w:r>
            <w:proofErr w:type="spellEnd"/>
            <w:r w:rsidRPr="00CC28D3">
              <w:rPr>
                <w:rFonts w:ascii="Times New Roman" w:hAnsi="Times New Roman"/>
                <w:sz w:val="24"/>
              </w:rPr>
              <w:t>,</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VM prijíma, vypočítaný</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276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6C721687" w14:textId="77777777" w:rsidTr="00822842">
        <w:trPr>
          <w:trHeight w:val="680"/>
        </w:trPr>
        <w:tc>
          <w:tcPr>
            <w:tcW w:w="1384" w:type="dxa"/>
          </w:tcPr>
          <w:p w14:paraId="2B88DE08" w14:textId="77777777" w:rsidR="00EF74C7" w:rsidRPr="00CC28D3" w:rsidRDefault="00EF74C7" w:rsidP="00822842">
            <w:pPr>
              <w:pStyle w:val="Fait"/>
            </w:pPr>
            <w:r w:rsidRPr="00CC28D3">
              <w:t>0070</w:t>
            </w:r>
          </w:p>
        </w:tc>
        <w:tc>
          <w:tcPr>
            <w:tcW w:w="7655" w:type="dxa"/>
            <w:vAlign w:val="center"/>
          </w:tcPr>
          <w:p w14:paraId="3CBA9D04" w14:textId="77777777" w:rsidR="00EF74C7" w:rsidRPr="00CC28D3" w:rsidRDefault="00EF74C7" w:rsidP="00822842">
            <w:pPr>
              <w:keepNext/>
              <w:spacing w:before="60"/>
              <w:rPr>
                <w:rStyle w:val="InstructionsTabelleberschrift"/>
                <w:rFonts w:ascii="Times New Roman" w:hAnsi="Times New Roman"/>
                <w:b w:val="0"/>
                <w:bCs w:val="0"/>
                <w:sz w:val="24"/>
              </w:rPr>
            </w:pPr>
            <w:r w:rsidRPr="00CC28D3">
              <w:rPr>
                <w:rStyle w:val="InstructionsTabelleberschrift"/>
                <w:rFonts w:ascii="Times New Roman" w:hAnsi="Times New Roman"/>
                <w:sz w:val="24"/>
              </w:rPr>
              <w:t>VARIAČNÁ MARŽA (VM), POSKYTNUTÁ</w:t>
            </w:r>
          </w:p>
          <w:p w14:paraId="5E268090" w14:textId="1C310A7D" w:rsidR="00EF74C7" w:rsidRPr="00CC28D3" w:rsidRDefault="00EF74C7" w:rsidP="00822842">
            <w:pPr>
              <w:keepNext/>
              <w:spacing w:before="60"/>
              <w:rPr>
                <w:rFonts w:ascii="Times New Roman" w:hAnsi="Times New Roman"/>
                <w:sz w:val="24"/>
              </w:rPr>
            </w:pPr>
            <w:r w:rsidRPr="00CC28D3">
              <w:rPr>
                <w:rFonts w:ascii="Times New Roman" w:hAnsi="Times New Roman"/>
                <w:sz w:val="24"/>
              </w:rPr>
              <w:t>Článok 275 ods. 2, článok 275 ods. 3</w:t>
            </w:r>
            <w:r w:rsidR="00CC28D3">
              <w:rPr>
                <w:rFonts w:ascii="Times New Roman" w:hAnsi="Times New Roman"/>
                <w:sz w:val="24"/>
              </w:rPr>
              <w:t xml:space="preserve"> a </w:t>
            </w:r>
            <w:r w:rsidRPr="00CC28D3">
              <w:rPr>
                <w:rFonts w:ascii="Times New Roman" w:hAnsi="Times New Roman"/>
                <w:sz w:val="24"/>
              </w:rPr>
              <w:t xml:space="preserve">článok 276 nariadenia (EÚ) </w:t>
            </w:r>
            <w:r w:rsidR="00CC28D3">
              <w:rPr>
                <w:rFonts w:ascii="Times New Roman" w:hAnsi="Times New Roman"/>
                <w:sz w:val="24"/>
              </w:rPr>
              <w:t>č. </w:t>
            </w:r>
            <w:r w:rsidRPr="00CC28D3">
              <w:rPr>
                <w:rFonts w:ascii="Times New Roman" w:hAnsi="Times New Roman"/>
                <w:sz w:val="24"/>
              </w:rPr>
              <w:t>575/2013</w:t>
            </w:r>
          </w:p>
          <w:p w14:paraId="061EF38D" w14:textId="6ED0661E" w:rsidR="00EF74C7" w:rsidRPr="00CC28D3" w:rsidRDefault="00EF74C7" w:rsidP="00822842">
            <w:pPr>
              <w:keepNext/>
              <w:spacing w:before="60"/>
              <w:rPr>
                <w:rStyle w:val="InstructionsTabelleberschrift"/>
                <w:rFonts w:ascii="Times New Roman" w:hAnsi="Times New Roman"/>
                <w:sz w:val="24"/>
              </w:rPr>
            </w:pPr>
            <w:r w:rsidRPr="00CC28D3">
              <w:rPr>
                <w:rFonts w:ascii="Times New Roman" w:hAnsi="Times New Roman"/>
                <w:sz w:val="24"/>
              </w:rPr>
              <w:t>Súčet hodnôt variačnej marže (VM) všetkých dohôd</w:t>
            </w:r>
            <w:r w:rsidR="00CC28D3">
              <w:rPr>
                <w:rFonts w:ascii="Times New Roman" w:hAnsi="Times New Roman"/>
                <w:sz w:val="24"/>
              </w:rPr>
              <w:t xml:space="preserve"> o </w:t>
            </w:r>
            <w:proofErr w:type="spellStart"/>
            <w:r w:rsidRPr="00CC28D3">
              <w:rPr>
                <w:rFonts w:ascii="Times New Roman" w:hAnsi="Times New Roman"/>
                <w:sz w:val="24"/>
              </w:rPr>
              <w:t>dozabezpečení</w:t>
            </w:r>
            <w:proofErr w:type="spellEnd"/>
            <w:r w:rsidRPr="00CC28D3">
              <w:rPr>
                <w:rFonts w:ascii="Times New Roman" w:hAnsi="Times New Roman"/>
                <w:sz w:val="24"/>
              </w:rPr>
              <w:t>,</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VM poskytuje, vypočítaný</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276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4403BF45" w14:textId="77777777" w:rsidTr="00822842">
        <w:trPr>
          <w:trHeight w:val="680"/>
        </w:trPr>
        <w:tc>
          <w:tcPr>
            <w:tcW w:w="1384" w:type="dxa"/>
          </w:tcPr>
          <w:p w14:paraId="6FD71C9F" w14:textId="77777777" w:rsidR="00EF74C7" w:rsidRPr="00CC28D3" w:rsidRDefault="00EF74C7" w:rsidP="00822842">
            <w:pPr>
              <w:pStyle w:val="Applicationdirecte"/>
              <w:spacing w:before="0" w:after="0"/>
            </w:pPr>
            <w:r w:rsidRPr="00CC28D3">
              <w:t>0080</w:t>
            </w:r>
          </w:p>
        </w:tc>
        <w:tc>
          <w:tcPr>
            <w:tcW w:w="7655" w:type="dxa"/>
            <w:vAlign w:val="center"/>
          </w:tcPr>
          <w:p w14:paraId="42C9CB67"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ČISTÁ SUMA NEZÁVISLÉHO KOLATERÁLU (NICA), PRIJATÁ</w:t>
            </w:r>
          </w:p>
          <w:p w14:paraId="6F05E00C" w14:textId="7E14A8B5" w:rsidR="00EF74C7" w:rsidRPr="00CC28D3" w:rsidRDefault="00EF74C7" w:rsidP="00822842">
            <w:pPr>
              <w:keepNext/>
              <w:spacing w:before="60"/>
              <w:rPr>
                <w:rFonts w:ascii="Times New Roman" w:hAnsi="Times New Roman"/>
                <w:sz w:val="24"/>
              </w:rPr>
            </w:pPr>
            <w:r w:rsidRPr="00CC28D3">
              <w:rPr>
                <w:rFonts w:ascii="Times New Roman" w:hAnsi="Times New Roman"/>
                <w:sz w:val="24"/>
              </w:rPr>
              <w:t>Článok 272 ods. 12a, článok 275 ods. 3</w:t>
            </w:r>
            <w:r w:rsidR="00CC28D3">
              <w:rPr>
                <w:rFonts w:ascii="Times New Roman" w:hAnsi="Times New Roman"/>
                <w:sz w:val="24"/>
              </w:rPr>
              <w:t xml:space="preserve"> a </w:t>
            </w:r>
            <w:r w:rsidRPr="00CC28D3">
              <w:rPr>
                <w:rFonts w:ascii="Times New Roman" w:hAnsi="Times New Roman"/>
                <w:sz w:val="24"/>
              </w:rPr>
              <w:t xml:space="preserve">článok 276 nariadenia (EÚ) </w:t>
            </w:r>
            <w:r w:rsidR="00CC28D3">
              <w:rPr>
                <w:rFonts w:ascii="Times New Roman" w:hAnsi="Times New Roman"/>
                <w:sz w:val="24"/>
              </w:rPr>
              <w:t>č. </w:t>
            </w:r>
            <w:r w:rsidRPr="00CC28D3">
              <w:rPr>
                <w:rFonts w:ascii="Times New Roman" w:hAnsi="Times New Roman"/>
                <w:sz w:val="24"/>
              </w:rPr>
              <w:t>575/2013</w:t>
            </w:r>
          </w:p>
          <w:p w14:paraId="4F712E22" w14:textId="01A1EAB8" w:rsidR="00EF74C7" w:rsidRPr="00CC28D3" w:rsidRDefault="00EF74C7" w:rsidP="00822842">
            <w:pPr>
              <w:keepNext/>
              <w:spacing w:before="60"/>
              <w:rPr>
                <w:rFonts w:ascii="Times New Roman" w:hAnsi="Times New Roman"/>
                <w:sz w:val="24"/>
              </w:rPr>
            </w:pPr>
            <w:r w:rsidRPr="00CC28D3">
              <w:rPr>
                <w:rFonts w:ascii="Times New Roman" w:hAnsi="Times New Roman"/>
                <w:sz w:val="24"/>
              </w:rPr>
              <w:t>Súčet čistých súm nezávislého kolaterálu (NICA) všetkých dohôd</w:t>
            </w:r>
            <w:r w:rsidR="00CC28D3">
              <w:rPr>
                <w:rFonts w:ascii="Times New Roman" w:hAnsi="Times New Roman"/>
                <w:sz w:val="24"/>
              </w:rPr>
              <w:t xml:space="preserve"> o </w:t>
            </w:r>
            <w:proofErr w:type="spellStart"/>
            <w:r w:rsidRPr="00CC28D3">
              <w:rPr>
                <w:rFonts w:ascii="Times New Roman" w:hAnsi="Times New Roman"/>
                <w:sz w:val="24"/>
              </w:rPr>
              <w:t>dozabezpečení</w:t>
            </w:r>
            <w:proofErr w:type="spellEnd"/>
            <w:r w:rsidRPr="00CC28D3">
              <w:rPr>
                <w:rFonts w:ascii="Times New Roman" w:hAnsi="Times New Roman"/>
                <w:sz w:val="24"/>
              </w:rPr>
              <w:t>,</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NICA prijíma, vypočítaný</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276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6199258D" w14:textId="77777777" w:rsidTr="00822842">
        <w:trPr>
          <w:trHeight w:val="680"/>
        </w:trPr>
        <w:tc>
          <w:tcPr>
            <w:tcW w:w="1384" w:type="dxa"/>
          </w:tcPr>
          <w:p w14:paraId="5ECD89A4" w14:textId="77777777" w:rsidR="00EF74C7" w:rsidRPr="00CC28D3" w:rsidRDefault="00EF74C7" w:rsidP="00822842">
            <w:pPr>
              <w:pStyle w:val="Applicationdirecte"/>
              <w:spacing w:before="0" w:after="0"/>
            </w:pPr>
            <w:r w:rsidRPr="00CC28D3">
              <w:t>0090</w:t>
            </w:r>
          </w:p>
        </w:tc>
        <w:tc>
          <w:tcPr>
            <w:tcW w:w="7655" w:type="dxa"/>
            <w:vAlign w:val="center"/>
          </w:tcPr>
          <w:p w14:paraId="080F7751"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ČISTÁ SUMA NEZÁVISLÉHO KOLATERÁLU (NICA), POSKYTNUTÁ</w:t>
            </w:r>
          </w:p>
          <w:p w14:paraId="69D94B02" w14:textId="5D1DAB26" w:rsidR="00EF74C7" w:rsidRPr="00CC28D3" w:rsidRDefault="00EF74C7" w:rsidP="00822842">
            <w:pPr>
              <w:keepNext/>
              <w:spacing w:before="60"/>
              <w:rPr>
                <w:rFonts w:ascii="Times New Roman" w:hAnsi="Times New Roman"/>
                <w:sz w:val="24"/>
              </w:rPr>
            </w:pPr>
            <w:r w:rsidRPr="00CC28D3">
              <w:rPr>
                <w:rFonts w:ascii="Times New Roman" w:hAnsi="Times New Roman"/>
                <w:sz w:val="24"/>
              </w:rPr>
              <w:t>Článok 272 ods. 12a, článok 275 ods. 3</w:t>
            </w:r>
            <w:r w:rsidR="00CC28D3">
              <w:rPr>
                <w:rFonts w:ascii="Times New Roman" w:hAnsi="Times New Roman"/>
                <w:sz w:val="24"/>
              </w:rPr>
              <w:t xml:space="preserve"> a </w:t>
            </w:r>
            <w:r w:rsidRPr="00CC28D3">
              <w:rPr>
                <w:rFonts w:ascii="Times New Roman" w:hAnsi="Times New Roman"/>
                <w:sz w:val="24"/>
              </w:rPr>
              <w:t xml:space="preserve">článok 276 nariadenia (EÚ) </w:t>
            </w:r>
            <w:r w:rsidR="00CC28D3">
              <w:rPr>
                <w:rFonts w:ascii="Times New Roman" w:hAnsi="Times New Roman"/>
                <w:sz w:val="24"/>
              </w:rPr>
              <w:t>č. </w:t>
            </w:r>
            <w:r w:rsidRPr="00CC28D3">
              <w:rPr>
                <w:rFonts w:ascii="Times New Roman" w:hAnsi="Times New Roman"/>
                <w:sz w:val="24"/>
              </w:rPr>
              <w:t>575/2013</w:t>
            </w:r>
          </w:p>
          <w:p w14:paraId="501F735A" w14:textId="4A956789" w:rsidR="00EF74C7" w:rsidRPr="00CC28D3" w:rsidRDefault="00EF74C7" w:rsidP="00822842">
            <w:pPr>
              <w:spacing w:before="60"/>
              <w:rPr>
                <w:rStyle w:val="InstructionsTabelleberschrift"/>
                <w:rFonts w:ascii="Times New Roman" w:hAnsi="Times New Roman"/>
                <w:sz w:val="24"/>
              </w:rPr>
            </w:pPr>
            <w:r w:rsidRPr="00CC28D3">
              <w:rPr>
                <w:rFonts w:ascii="Times New Roman" w:hAnsi="Times New Roman"/>
                <w:sz w:val="24"/>
              </w:rPr>
              <w:t>Súčet čistých súm nezávislého kolaterálu (NICA) všetkých dohôd</w:t>
            </w:r>
            <w:r w:rsidR="00CC28D3">
              <w:rPr>
                <w:rFonts w:ascii="Times New Roman" w:hAnsi="Times New Roman"/>
                <w:sz w:val="24"/>
              </w:rPr>
              <w:t xml:space="preserve"> o </w:t>
            </w:r>
            <w:proofErr w:type="spellStart"/>
            <w:r w:rsidRPr="00CC28D3">
              <w:rPr>
                <w:rFonts w:ascii="Times New Roman" w:hAnsi="Times New Roman"/>
                <w:sz w:val="24"/>
              </w:rPr>
              <w:t>dozabezpečení</w:t>
            </w:r>
            <w:proofErr w:type="spellEnd"/>
            <w:r w:rsidRPr="00CC28D3">
              <w:rPr>
                <w:rFonts w:ascii="Times New Roman" w:hAnsi="Times New Roman"/>
                <w:sz w:val="24"/>
              </w:rPr>
              <w:t>,</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NICA poskytuje, vypočítaný</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276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1D70BDB1" w14:textId="77777777" w:rsidTr="00822842">
        <w:trPr>
          <w:trHeight w:val="680"/>
        </w:trPr>
        <w:tc>
          <w:tcPr>
            <w:tcW w:w="1384" w:type="dxa"/>
          </w:tcPr>
          <w:p w14:paraId="4B42749A" w14:textId="77777777" w:rsidR="00EF74C7" w:rsidRPr="00CC28D3" w:rsidRDefault="00EF74C7" w:rsidP="00822842">
            <w:pPr>
              <w:pStyle w:val="Applicationdirecte"/>
              <w:spacing w:before="0" w:after="0"/>
            </w:pPr>
            <w:r w:rsidRPr="00CC28D3">
              <w:t>0100</w:t>
            </w:r>
          </w:p>
        </w:tc>
        <w:tc>
          <w:tcPr>
            <w:tcW w:w="7655" w:type="dxa"/>
            <w:vAlign w:val="center"/>
          </w:tcPr>
          <w:p w14:paraId="29634ED4"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REPRODUKČNÉ NÁKLADY (RC)</w:t>
            </w:r>
          </w:p>
          <w:p w14:paraId="020E5CFA" w14:textId="1FAA325B" w:rsidR="00EF74C7" w:rsidRPr="00CC28D3" w:rsidRDefault="00EF74C7" w:rsidP="00822842">
            <w:pPr>
              <w:spacing w:before="60"/>
              <w:rPr>
                <w:rFonts w:ascii="Times New Roman" w:eastAsia="Calibri" w:hAnsi="Times New Roman"/>
                <w:sz w:val="24"/>
              </w:rPr>
            </w:pPr>
            <w:r w:rsidRPr="00CC28D3">
              <w:rPr>
                <w:rFonts w:ascii="Times New Roman" w:hAnsi="Times New Roman"/>
                <w:sz w:val="24"/>
              </w:rPr>
              <w:t>Články 275, 281</w:t>
            </w:r>
            <w:r w:rsidR="00CC28D3">
              <w:rPr>
                <w:rFonts w:ascii="Times New Roman" w:hAnsi="Times New Roman"/>
                <w:sz w:val="24"/>
              </w:rPr>
              <w:t xml:space="preserve"> a </w:t>
            </w:r>
            <w:r w:rsidRPr="00CC28D3">
              <w:rPr>
                <w:rFonts w:ascii="Times New Roman" w:hAnsi="Times New Roman"/>
                <w:sz w:val="24"/>
              </w:rPr>
              <w:t xml:space="preserve">282 nariadenia (EÚ) </w:t>
            </w:r>
            <w:r w:rsidR="00CC28D3">
              <w:rPr>
                <w:rFonts w:ascii="Times New Roman" w:hAnsi="Times New Roman"/>
                <w:sz w:val="24"/>
              </w:rPr>
              <w:t>č. </w:t>
            </w:r>
            <w:r w:rsidRPr="00CC28D3">
              <w:rPr>
                <w:rFonts w:ascii="Times New Roman" w:hAnsi="Times New Roman"/>
                <w:sz w:val="24"/>
              </w:rPr>
              <w:t>575/2013</w:t>
            </w:r>
          </w:p>
          <w:p w14:paraId="7A9200C0" w14:textId="15084B17" w:rsidR="00CC28D3" w:rsidRDefault="00EF74C7" w:rsidP="00822842">
            <w:pPr>
              <w:pStyle w:val="TableMainHeading"/>
              <w:spacing w:before="0" w:after="0"/>
              <w:jc w:val="both"/>
              <w:rPr>
                <w:rFonts w:ascii="Times New Roman" w:hAnsi="Times New Roman"/>
                <w:sz w:val="24"/>
              </w:rPr>
            </w:pPr>
            <w:r w:rsidRPr="00CC28D3">
              <w:rPr>
                <w:rFonts w:ascii="Times New Roman" w:hAnsi="Times New Roman"/>
                <w:sz w:val="24"/>
              </w:rPr>
              <w:t>Reprodukčné náklady (RC) súboru vzájomného započítavania sa vypočítavajú</w:t>
            </w:r>
            <w:r w:rsidR="00CC28D3">
              <w:rPr>
                <w:rFonts w:ascii="Times New Roman" w:hAnsi="Times New Roman"/>
                <w:sz w:val="24"/>
              </w:rPr>
              <w:t xml:space="preserve"> v </w:t>
            </w:r>
            <w:r w:rsidRPr="00CC28D3">
              <w:rPr>
                <w:rFonts w:ascii="Times New Roman" w:hAnsi="Times New Roman"/>
                <w:sz w:val="24"/>
              </w:rPr>
              <w:t>súlade s</w:t>
            </w:r>
            <w:r w:rsidR="00CC28D3">
              <w:rPr>
                <w:rFonts w:ascii="Times New Roman" w:hAnsi="Times New Roman"/>
                <w:sz w:val="24"/>
              </w:rPr>
              <w:t>:</w:t>
            </w:r>
          </w:p>
          <w:p w14:paraId="166BE086" w14:textId="2FD6645D" w:rsidR="00CC28D3" w:rsidRDefault="00EF74C7" w:rsidP="00822842">
            <w:pPr>
              <w:spacing w:before="60"/>
              <w:rPr>
                <w:rFonts w:ascii="Times New Roman" w:hAnsi="Times New Roman"/>
                <w:sz w:val="24"/>
              </w:rPr>
            </w:pPr>
            <w:r w:rsidRPr="00CC28D3">
              <w:rPr>
                <w:rFonts w:ascii="Times New Roman" w:hAnsi="Times New Roman"/>
                <w:sz w:val="24"/>
              </w:rPr>
              <w:t xml:space="preserve">– článkom 282 ods. 3 nariadenia (EÚ) </w:t>
            </w:r>
            <w:r w:rsidR="00CC28D3">
              <w:rPr>
                <w:rFonts w:ascii="Times New Roman" w:hAnsi="Times New Roman"/>
                <w:sz w:val="24"/>
              </w:rPr>
              <w:t>č. </w:t>
            </w:r>
            <w:r w:rsidRPr="00CC28D3">
              <w:rPr>
                <w:rFonts w:ascii="Times New Roman" w:hAnsi="Times New Roman"/>
                <w:sz w:val="24"/>
              </w:rPr>
              <w:t>575/2013, pokiaľ ide</w:t>
            </w:r>
            <w:r w:rsidR="00CC28D3">
              <w:rPr>
                <w:rFonts w:ascii="Times New Roman" w:hAnsi="Times New Roman"/>
                <w:sz w:val="24"/>
              </w:rPr>
              <w:t xml:space="preserve"> o </w:t>
            </w:r>
            <w:r w:rsidRPr="00CC28D3">
              <w:rPr>
                <w:rFonts w:ascii="Times New Roman" w:hAnsi="Times New Roman"/>
                <w:sz w:val="24"/>
              </w:rPr>
              <w:t>metódu pôvodnej expozície,</w:t>
            </w:r>
          </w:p>
          <w:p w14:paraId="119FA228" w14:textId="5DDED753" w:rsidR="00EF74C7" w:rsidRPr="00CC28D3" w:rsidRDefault="00EF74C7" w:rsidP="00822842">
            <w:pPr>
              <w:spacing w:before="60"/>
              <w:rPr>
                <w:rFonts w:ascii="Times New Roman" w:hAnsi="Times New Roman"/>
                <w:sz w:val="24"/>
              </w:rPr>
            </w:pPr>
            <w:r w:rsidRPr="00CC28D3">
              <w:rPr>
                <w:rFonts w:ascii="Times New Roman" w:hAnsi="Times New Roman"/>
                <w:sz w:val="24"/>
              </w:rPr>
              <w:t xml:space="preserve">– článkom 281 nariadenia (EÚ) </w:t>
            </w:r>
            <w:r w:rsidR="00CC28D3">
              <w:rPr>
                <w:rFonts w:ascii="Times New Roman" w:hAnsi="Times New Roman"/>
                <w:sz w:val="24"/>
              </w:rPr>
              <w:t>č. </w:t>
            </w:r>
            <w:r w:rsidRPr="00CC28D3">
              <w:rPr>
                <w:rFonts w:ascii="Times New Roman" w:hAnsi="Times New Roman"/>
                <w:sz w:val="24"/>
              </w:rPr>
              <w:t>575/2013, pokiaľ ide</w:t>
            </w:r>
            <w:r w:rsidR="00CC28D3">
              <w:rPr>
                <w:rFonts w:ascii="Times New Roman" w:hAnsi="Times New Roman"/>
                <w:sz w:val="24"/>
              </w:rPr>
              <w:t xml:space="preserve"> o </w:t>
            </w:r>
            <w:r w:rsidRPr="00CC28D3">
              <w:rPr>
                <w:rFonts w:ascii="Times New Roman" w:hAnsi="Times New Roman"/>
                <w:sz w:val="24"/>
              </w:rPr>
              <w:t>zjednodušený prístup SA-CCR,</w:t>
            </w:r>
          </w:p>
          <w:p w14:paraId="341C9FB7" w14:textId="59C42996" w:rsidR="00EF74C7" w:rsidRPr="00CC28D3" w:rsidRDefault="00EF74C7" w:rsidP="00822842">
            <w:pPr>
              <w:spacing w:before="60"/>
              <w:rPr>
                <w:rFonts w:ascii="Times New Roman" w:hAnsi="Times New Roman"/>
                <w:sz w:val="24"/>
              </w:rPr>
            </w:pPr>
            <w:r w:rsidRPr="00CC28D3">
              <w:rPr>
                <w:rFonts w:ascii="Times New Roman" w:hAnsi="Times New Roman"/>
                <w:sz w:val="24"/>
              </w:rPr>
              <w:t xml:space="preserve">– článkom 275 nariadenia (EÚ) </w:t>
            </w:r>
            <w:r w:rsidR="00CC28D3">
              <w:rPr>
                <w:rFonts w:ascii="Times New Roman" w:hAnsi="Times New Roman"/>
                <w:sz w:val="24"/>
              </w:rPr>
              <w:t>č. </w:t>
            </w:r>
            <w:r w:rsidRPr="00CC28D3">
              <w:rPr>
                <w:rFonts w:ascii="Times New Roman" w:hAnsi="Times New Roman"/>
                <w:sz w:val="24"/>
              </w:rPr>
              <w:t>575/2013, pokiaľ ide</w:t>
            </w:r>
            <w:r w:rsidR="00CC28D3">
              <w:rPr>
                <w:rFonts w:ascii="Times New Roman" w:hAnsi="Times New Roman"/>
                <w:sz w:val="24"/>
              </w:rPr>
              <w:t xml:space="preserve"> o </w:t>
            </w:r>
            <w:r w:rsidRPr="00CC28D3">
              <w:rPr>
                <w:rFonts w:ascii="Times New Roman" w:hAnsi="Times New Roman"/>
                <w:sz w:val="24"/>
              </w:rPr>
              <w:t>prístup SA-CCR.</w:t>
            </w:r>
          </w:p>
          <w:p w14:paraId="4927F863" w14:textId="7030111B" w:rsidR="00EF74C7" w:rsidRPr="00CC28D3" w:rsidRDefault="00EF74C7" w:rsidP="00822842">
            <w:pPr>
              <w:spacing w:before="60"/>
              <w:rPr>
                <w:rFonts w:ascii="Times New Roman" w:hAnsi="Times New Roman"/>
                <w:sz w:val="24"/>
              </w:rPr>
            </w:pPr>
            <w:r w:rsidRPr="00CC28D3">
              <w:rPr>
                <w:rFonts w:ascii="Times New Roman" w:hAnsi="Times New Roman"/>
                <w:sz w:val="24"/>
              </w:rPr>
              <w:t>Inštitúcia vykazuje</w:t>
            </w:r>
            <w:r w:rsidR="00CC28D3">
              <w:rPr>
                <w:rFonts w:ascii="Times New Roman" w:hAnsi="Times New Roman"/>
                <w:sz w:val="24"/>
              </w:rPr>
              <w:t xml:space="preserve"> v </w:t>
            </w:r>
            <w:r w:rsidRPr="00CC28D3">
              <w:rPr>
                <w:rFonts w:ascii="Times New Roman" w:hAnsi="Times New Roman"/>
                <w:sz w:val="24"/>
              </w:rPr>
              <w:t>príslušnom riadku súčet reprodukčných nákladov súborov vzájomného započítavania.</w:t>
            </w:r>
          </w:p>
        </w:tc>
      </w:tr>
      <w:tr w:rsidR="00EF74C7" w:rsidRPr="00CC28D3" w14:paraId="6A436014" w14:textId="77777777" w:rsidTr="00822842">
        <w:trPr>
          <w:trHeight w:val="680"/>
        </w:trPr>
        <w:tc>
          <w:tcPr>
            <w:tcW w:w="1384" w:type="dxa"/>
          </w:tcPr>
          <w:p w14:paraId="0929ECF8" w14:textId="77777777" w:rsidR="00EF74C7" w:rsidRPr="00CC28D3" w:rsidRDefault="00EF74C7" w:rsidP="00822842">
            <w:pPr>
              <w:pStyle w:val="Applicationdirecte"/>
              <w:spacing w:before="0" w:after="0"/>
            </w:pPr>
            <w:r w:rsidRPr="00CC28D3">
              <w:t>0110</w:t>
            </w:r>
          </w:p>
        </w:tc>
        <w:tc>
          <w:tcPr>
            <w:tcW w:w="7655" w:type="dxa"/>
            <w:vAlign w:val="center"/>
          </w:tcPr>
          <w:p w14:paraId="2874AC61" w14:textId="77777777" w:rsidR="00EF74C7" w:rsidRP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POTENCIÁLNA BUDÚCA EXPOZÍCIA (PFE)</w:t>
            </w:r>
          </w:p>
          <w:p w14:paraId="1F05C741" w14:textId="1A821A1D" w:rsidR="00EF74C7" w:rsidRPr="00CC28D3" w:rsidRDefault="00EF74C7" w:rsidP="00822842">
            <w:pPr>
              <w:spacing w:before="60"/>
              <w:rPr>
                <w:rFonts w:ascii="Times New Roman" w:eastAsia="Calibri" w:hAnsi="Times New Roman"/>
                <w:sz w:val="24"/>
              </w:rPr>
            </w:pPr>
            <w:r w:rsidRPr="00CC28D3">
              <w:rPr>
                <w:rFonts w:ascii="Times New Roman" w:hAnsi="Times New Roman"/>
                <w:sz w:val="24"/>
              </w:rPr>
              <w:t>Články 278, 281</w:t>
            </w:r>
            <w:r w:rsidR="00CC28D3">
              <w:rPr>
                <w:rFonts w:ascii="Times New Roman" w:hAnsi="Times New Roman"/>
                <w:sz w:val="24"/>
              </w:rPr>
              <w:t xml:space="preserve"> a </w:t>
            </w:r>
            <w:r w:rsidRPr="00CC28D3">
              <w:rPr>
                <w:rFonts w:ascii="Times New Roman" w:hAnsi="Times New Roman"/>
                <w:sz w:val="24"/>
              </w:rPr>
              <w:t xml:space="preserve">282 nariadenia (EÚ) </w:t>
            </w:r>
            <w:r w:rsidR="00CC28D3">
              <w:rPr>
                <w:rFonts w:ascii="Times New Roman" w:hAnsi="Times New Roman"/>
                <w:sz w:val="24"/>
              </w:rPr>
              <w:t>č. </w:t>
            </w:r>
            <w:r w:rsidRPr="00CC28D3">
              <w:rPr>
                <w:rFonts w:ascii="Times New Roman" w:hAnsi="Times New Roman"/>
                <w:sz w:val="24"/>
              </w:rPr>
              <w:t>575/2013</w:t>
            </w:r>
          </w:p>
          <w:p w14:paraId="3149D56E" w14:textId="3631DDCA" w:rsidR="00CC28D3" w:rsidRDefault="00EF74C7" w:rsidP="00822842">
            <w:pPr>
              <w:spacing w:before="60"/>
              <w:rPr>
                <w:rFonts w:ascii="Times New Roman" w:hAnsi="Times New Roman"/>
                <w:sz w:val="24"/>
              </w:rPr>
            </w:pPr>
            <w:r w:rsidRPr="00CC28D3">
              <w:rPr>
                <w:rFonts w:ascii="Times New Roman" w:hAnsi="Times New Roman"/>
                <w:sz w:val="24"/>
              </w:rPr>
              <w:lastRenderedPageBreak/>
              <w:t>Potenciálna budúca expozícia (PFE) súboru vzájomného započítavania sa vypočítava</w:t>
            </w:r>
            <w:r w:rsidR="00CC28D3">
              <w:rPr>
                <w:rFonts w:ascii="Times New Roman" w:hAnsi="Times New Roman"/>
                <w:sz w:val="24"/>
              </w:rPr>
              <w:t xml:space="preserve"> v </w:t>
            </w:r>
            <w:r w:rsidRPr="00CC28D3">
              <w:rPr>
                <w:rFonts w:ascii="Times New Roman" w:hAnsi="Times New Roman"/>
                <w:sz w:val="24"/>
              </w:rPr>
              <w:t>súlade s</w:t>
            </w:r>
            <w:r w:rsidR="00CC28D3">
              <w:rPr>
                <w:rFonts w:ascii="Times New Roman" w:hAnsi="Times New Roman"/>
                <w:sz w:val="24"/>
              </w:rPr>
              <w:t>:</w:t>
            </w:r>
          </w:p>
          <w:p w14:paraId="360E520E" w14:textId="3C36A110" w:rsidR="00CC28D3" w:rsidRDefault="00EF74C7" w:rsidP="00822842">
            <w:pPr>
              <w:spacing w:before="60"/>
              <w:rPr>
                <w:rFonts w:ascii="Times New Roman" w:hAnsi="Times New Roman"/>
                <w:sz w:val="24"/>
              </w:rPr>
            </w:pPr>
            <w:r w:rsidRPr="00CC28D3">
              <w:rPr>
                <w:rFonts w:ascii="Times New Roman" w:hAnsi="Times New Roman"/>
                <w:sz w:val="24"/>
              </w:rPr>
              <w:t xml:space="preserve">– článkom 282 ods. 4 nariadenia (EÚ) </w:t>
            </w:r>
            <w:r w:rsidR="00CC28D3">
              <w:rPr>
                <w:rFonts w:ascii="Times New Roman" w:hAnsi="Times New Roman"/>
                <w:sz w:val="24"/>
              </w:rPr>
              <w:t>č. </w:t>
            </w:r>
            <w:r w:rsidRPr="00CC28D3">
              <w:rPr>
                <w:rFonts w:ascii="Times New Roman" w:hAnsi="Times New Roman"/>
                <w:sz w:val="24"/>
              </w:rPr>
              <w:t>575/2013, pokiaľ ide</w:t>
            </w:r>
            <w:r w:rsidR="00CC28D3">
              <w:rPr>
                <w:rFonts w:ascii="Times New Roman" w:hAnsi="Times New Roman"/>
                <w:sz w:val="24"/>
              </w:rPr>
              <w:t xml:space="preserve"> o </w:t>
            </w:r>
            <w:r w:rsidRPr="00CC28D3">
              <w:rPr>
                <w:rFonts w:ascii="Times New Roman" w:hAnsi="Times New Roman"/>
                <w:sz w:val="24"/>
              </w:rPr>
              <w:t>metódu pôvodnej expozície,</w:t>
            </w:r>
          </w:p>
          <w:p w14:paraId="3C429683" w14:textId="6D6688DD" w:rsidR="00EF74C7" w:rsidRPr="00CC28D3" w:rsidRDefault="00EF74C7" w:rsidP="00822842">
            <w:pPr>
              <w:spacing w:before="60"/>
              <w:rPr>
                <w:rFonts w:ascii="Times New Roman" w:hAnsi="Times New Roman"/>
                <w:sz w:val="24"/>
              </w:rPr>
            </w:pPr>
            <w:r w:rsidRPr="00CC28D3">
              <w:rPr>
                <w:rFonts w:ascii="Times New Roman" w:hAnsi="Times New Roman"/>
                <w:sz w:val="24"/>
              </w:rPr>
              <w:t xml:space="preserve">– článkom 281 nariadenia (EÚ) </w:t>
            </w:r>
            <w:r w:rsidR="00CC28D3">
              <w:rPr>
                <w:rFonts w:ascii="Times New Roman" w:hAnsi="Times New Roman"/>
                <w:sz w:val="24"/>
              </w:rPr>
              <w:t>č. </w:t>
            </w:r>
            <w:r w:rsidRPr="00CC28D3">
              <w:rPr>
                <w:rFonts w:ascii="Times New Roman" w:hAnsi="Times New Roman"/>
                <w:sz w:val="24"/>
              </w:rPr>
              <w:t>575/2013, pokiaľ ide</w:t>
            </w:r>
            <w:r w:rsidR="00CC28D3">
              <w:rPr>
                <w:rFonts w:ascii="Times New Roman" w:hAnsi="Times New Roman"/>
                <w:sz w:val="24"/>
              </w:rPr>
              <w:t xml:space="preserve"> o </w:t>
            </w:r>
            <w:r w:rsidRPr="00CC28D3">
              <w:rPr>
                <w:rFonts w:ascii="Times New Roman" w:hAnsi="Times New Roman"/>
                <w:sz w:val="24"/>
              </w:rPr>
              <w:t>zjednodušený prístup SA-CCR,</w:t>
            </w:r>
          </w:p>
          <w:p w14:paraId="6194F2AF" w14:textId="61CA6BEA" w:rsidR="00EF74C7" w:rsidRPr="00CC28D3" w:rsidRDefault="00EF74C7" w:rsidP="00822842">
            <w:pPr>
              <w:spacing w:before="60"/>
              <w:rPr>
                <w:rFonts w:ascii="Times New Roman" w:hAnsi="Times New Roman"/>
                <w:sz w:val="24"/>
              </w:rPr>
            </w:pPr>
            <w:r w:rsidRPr="00CC28D3">
              <w:rPr>
                <w:rFonts w:ascii="Times New Roman" w:hAnsi="Times New Roman"/>
                <w:sz w:val="24"/>
              </w:rPr>
              <w:t xml:space="preserve">– článkom 278 nariadenia (EÚ) </w:t>
            </w:r>
            <w:r w:rsidR="00CC28D3">
              <w:rPr>
                <w:rFonts w:ascii="Times New Roman" w:hAnsi="Times New Roman"/>
                <w:sz w:val="24"/>
              </w:rPr>
              <w:t>č. </w:t>
            </w:r>
            <w:r w:rsidRPr="00CC28D3">
              <w:rPr>
                <w:rFonts w:ascii="Times New Roman" w:hAnsi="Times New Roman"/>
                <w:sz w:val="24"/>
              </w:rPr>
              <w:t>575/2013, pokiaľ ide</w:t>
            </w:r>
            <w:r w:rsidR="00CC28D3">
              <w:rPr>
                <w:rFonts w:ascii="Times New Roman" w:hAnsi="Times New Roman"/>
                <w:sz w:val="24"/>
              </w:rPr>
              <w:t xml:space="preserve"> o </w:t>
            </w:r>
            <w:r w:rsidRPr="00CC28D3">
              <w:rPr>
                <w:rFonts w:ascii="Times New Roman" w:hAnsi="Times New Roman"/>
                <w:sz w:val="24"/>
              </w:rPr>
              <w:t>prístup SA-CCR.</w:t>
            </w:r>
          </w:p>
          <w:p w14:paraId="2A2F0E46" w14:textId="20DCE20E" w:rsidR="00EF74C7" w:rsidRPr="00CC28D3" w:rsidRDefault="00EF74C7" w:rsidP="00822842">
            <w:pPr>
              <w:spacing w:before="60"/>
              <w:rPr>
                <w:rFonts w:ascii="Times New Roman" w:hAnsi="Times New Roman"/>
                <w:i/>
                <w:sz w:val="24"/>
              </w:rPr>
            </w:pPr>
            <w:r w:rsidRPr="00CC28D3">
              <w:rPr>
                <w:rFonts w:ascii="Times New Roman" w:hAnsi="Times New Roman"/>
                <w:sz w:val="24"/>
              </w:rPr>
              <w:t>Inštitúcia vykazuje</w:t>
            </w:r>
            <w:r w:rsidR="00CC28D3">
              <w:rPr>
                <w:rFonts w:ascii="Times New Roman" w:hAnsi="Times New Roman"/>
                <w:sz w:val="24"/>
              </w:rPr>
              <w:t xml:space="preserve"> v </w:t>
            </w:r>
            <w:r w:rsidRPr="00CC28D3">
              <w:rPr>
                <w:rFonts w:ascii="Times New Roman" w:hAnsi="Times New Roman"/>
                <w:sz w:val="24"/>
              </w:rPr>
              <w:t>príslušnom riadku súčet všetkých potenciálnych budúcich expozícií súborov vzájomného započítavania.</w:t>
            </w:r>
          </w:p>
        </w:tc>
      </w:tr>
      <w:tr w:rsidR="00EF74C7" w:rsidRPr="00CC28D3" w14:paraId="77C5A8CC" w14:textId="77777777" w:rsidTr="00822842">
        <w:trPr>
          <w:trHeight w:val="680"/>
        </w:trPr>
        <w:tc>
          <w:tcPr>
            <w:tcW w:w="1384" w:type="dxa"/>
          </w:tcPr>
          <w:p w14:paraId="35C9D880" w14:textId="77777777" w:rsidR="00EF74C7" w:rsidRPr="00CC28D3" w:rsidRDefault="00EF74C7" w:rsidP="00822842">
            <w:pPr>
              <w:pStyle w:val="Applicationdirecte"/>
              <w:spacing w:before="0" w:after="0"/>
            </w:pPr>
            <w:r w:rsidRPr="00CC28D3">
              <w:lastRenderedPageBreak/>
              <w:t>0120</w:t>
            </w:r>
          </w:p>
        </w:tc>
        <w:tc>
          <w:tcPr>
            <w:tcW w:w="7655" w:type="dxa"/>
            <w:vAlign w:val="center"/>
          </w:tcPr>
          <w:p w14:paraId="1B837C4C" w14:textId="77777777" w:rsidR="00EF74C7" w:rsidRP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AKTUÁLNA EXPOZÍCIA</w:t>
            </w:r>
          </w:p>
          <w:p w14:paraId="554AB032" w14:textId="2771EDAB" w:rsidR="00CC28D3" w:rsidRDefault="00EF74C7" w:rsidP="00822842">
            <w:pPr>
              <w:spacing w:before="60"/>
              <w:rPr>
                <w:rFonts w:ascii="Times New Roman" w:hAnsi="Times New Roman"/>
                <w:sz w:val="24"/>
              </w:rPr>
            </w:pPr>
            <w:r w:rsidRPr="00CC28D3">
              <w:rPr>
                <w:rFonts w:ascii="Times New Roman" w:hAnsi="Times New Roman"/>
                <w:sz w:val="24"/>
              </w:rPr>
              <w:t xml:space="preserve">Článok 272 ods. 17 nariadenia (EÚ) </w:t>
            </w:r>
            <w:r w:rsidR="00CC28D3">
              <w:rPr>
                <w:rFonts w:ascii="Times New Roman" w:hAnsi="Times New Roman"/>
                <w:sz w:val="24"/>
              </w:rPr>
              <w:t>č. </w:t>
            </w:r>
            <w:r w:rsidRPr="00CC28D3">
              <w:rPr>
                <w:rFonts w:ascii="Times New Roman" w:hAnsi="Times New Roman"/>
                <w:sz w:val="24"/>
              </w:rPr>
              <w:t>575/2013</w:t>
            </w:r>
          </w:p>
          <w:p w14:paraId="36E33616" w14:textId="12A53A8A" w:rsidR="00EF74C7" w:rsidRPr="00CC28D3" w:rsidRDefault="00EF74C7" w:rsidP="00822842">
            <w:pPr>
              <w:spacing w:before="60"/>
              <w:rPr>
                <w:rFonts w:ascii="Times New Roman" w:hAnsi="Times New Roman"/>
                <w:sz w:val="24"/>
              </w:rPr>
            </w:pPr>
            <w:r w:rsidRPr="00CC28D3">
              <w:rPr>
                <w:rFonts w:ascii="Times New Roman" w:hAnsi="Times New Roman"/>
                <w:sz w:val="24"/>
              </w:rPr>
              <w:t>Aktuálna expozícia súboru vzájomného započítavania zodpovedá hodnote</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272 ods. 17 nariadenia (EÚ) </w:t>
            </w:r>
            <w:r w:rsidR="00CC28D3">
              <w:rPr>
                <w:rFonts w:ascii="Times New Roman" w:hAnsi="Times New Roman"/>
                <w:sz w:val="24"/>
              </w:rPr>
              <w:t>č. </w:t>
            </w:r>
            <w:r w:rsidRPr="00CC28D3">
              <w:rPr>
                <w:rFonts w:ascii="Times New Roman" w:hAnsi="Times New Roman"/>
                <w:sz w:val="24"/>
              </w:rPr>
              <w:t>575/2013.</w:t>
            </w:r>
          </w:p>
          <w:p w14:paraId="459ECA5A" w14:textId="648A79B2" w:rsidR="00EF74C7" w:rsidRPr="00CC28D3" w:rsidRDefault="00EF74C7" w:rsidP="00822842">
            <w:pPr>
              <w:spacing w:before="60"/>
              <w:rPr>
                <w:rFonts w:ascii="Times New Roman" w:hAnsi="Times New Roman"/>
                <w:sz w:val="24"/>
              </w:rPr>
            </w:pPr>
            <w:r w:rsidRPr="00CC28D3">
              <w:rPr>
                <w:rFonts w:ascii="Times New Roman" w:hAnsi="Times New Roman"/>
                <w:sz w:val="24"/>
              </w:rPr>
              <w:t>Inštitúcia vykazuje</w:t>
            </w:r>
            <w:r w:rsidR="00CC28D3">
              <w:rPr>
                <w:rFonts w:ascii="Times New Roman" w:hAnsi="Times New Roman"/>
                <w:sz w:val="24"/>
              </w:rPr>
              <w:t xml:space="preserve"> v </w:t>
            </w:r>
            <w:r w:rsidRPr="00CC28D3">
              <w:rPr>
                <w:rFonts w:ascii="Times New Roman" w:hAnsi="Times New Roman"/>
                <w:sz w:val="24"/>
              </w:rPr>
              <w:t>príslušnom riadku súčet všetkých aktuálnych expozícií súborov vzájomného započítavania.</w:t>
            </w:r>
          </w:p>
        </w:tc>
      </w:tr>
      <w:tr w:rsidR="00EF74C7" w:rsidRPr="00CC28D3" w14:paraId="1B8ACD23" w14:textId="77777777" w:rsidTr="00822842">
        <w:trPr>
          <w:trHeight w:val="680"/>
        </w:trPr>
        <w:tc>
          <w:tcPr>
            <w:tcW w:w="1384" w:type="dxa"/>
          </w:tcPr>
          <w:p w14:paraId="74E98C99" w14:textId="77777777" w:rsidR="00EF74C7" w:rsidRPr="00CC28D3" w:rsidRDefault="00EF74C7" w:rsidP="00822842">
            <w:pPr>
              <w:pStyle w:val="Applicationdirecte"/>
              <w:spacing w:before="0" w:after="0"/>
            </w:pPr>
            <w:r w:rsidRPr="00CC28D3">
              <w:t>0130</w:t>
            </w:r>
          </w:p>
        </w:tc>
        <w:tc>
          <w:tcPr>
            <w:tcW w:w="7655" w:type="dxa"/>
            <w:vAlign w:val="center"/>
          </w:tcPr>
          <w:p w14:paraId="3EC3B867" w14:textId="77777777" w:rsidR="00EF74C7" w:rsidRP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EFEKTÍVNA OČAKÁVANÁ POZITÍVNA EXPOZÍCIA (EEPE)</w:t>
            </w:r>
          </w:p>
          <w:p w14:paraId="758613C4" w14:textId="4F2025E3" w:rsidR="00EF74C7" w:rsidRPr="00CC28D3" w:rsidRDefault="00EF74C7" w:rsidP="00822842">
            <w:pPr>
              <w:spacing w:before="60"/>
              <w:rPr>
                <w:rFonts w:ascii="Times New Roman" w:eastAsia="Calibri" w:hAnsi="Times New Roman"/>
                <w:sz w:val="24"/>
              </w:rPr>
            </w:pPr>
            <w:r w:rsidRPr="00CC28D3">
              <w:rPr>
                <w:rFonts w:ascii="Times New Roman" w:hAnsi="Times New Roman"/>
                <w:sz w:val="24"/>
              </w:rPr>
              <w:t>Článok 272 ods. 22, článok 284 ods. 3</w:t>
            </w:r>
            <w:r w:rsidR="00CC28D3">
              <w:rPr>
                <w:rFonts w:ascii="Times New Roman" w:hAnsi="Times New Roman"/>
                <w:sz w:val="24"/>
              </w:rPr>
              <w:t xml:space="preserve"> a </w:t>
            </w:r>
            <w:r w:rsidRPr="00CC28D3">
              <w:rPr>
                <w:rFonts w:ascii="Times New Roman" w:hAnsi="Times New Roman"/>
                <w:sz w:val="24"/>
              </w:rPr>
              <w:t xml:space="preserve">článok 284 ods. 6 nariadenia (EÚ) </w:t>
            </w:r>
            <w:r w:rsidR="00CC28D3">
              <w:rPr>
                <w:rFonts w:ascii="Times New Roman" w:hAnsi="Times New Roman"/>
                <w:sz w:val="24"/>
              </w:rPr>
              <w:t>č. </w:t>
            </w:r>
            <w:r w:rsidRPr="00CC28D3">
              <w:rPr>
                <w:rFonts w:ascii="Times New Roman" w:hAnsi="Times New Roman"/>
                <w:sz w:val="24"/>
              </w:rPr>
              <w:t>575/2013</w:t>
            </w:r>
          </w:p>
          <w:p w14:paraId="33B149EE" w14:textId="377D3281" w:rsidR="00EF74C7" w:rsidRPr="00CC28D3" w:rsidRDefault="00EF74C7" w:rsidP="00822842">
            <w:pPr>
              <w:pStyle w:val="Default"/>
              <w:spacing w:after="120"/>
              <w:jc w:val="both"/>
              <w:rPr>
                <w:rFonts w:ascii="Times New Roman" w:hAnsi="Times New Roman" w:cs="Times New Roman"/>
                <w:color w:val="auto"/>
              </w:rPr>
            </w:pPr>
            <w:r w:rsidRPr="00CC28D3">
              <w:rPr>
                <w:rFonts w:ascii="Times New Roman" w:hAnsi="Times New Roman"/>
                <w:color w:val="auto"/>
              </w:rPr>
              <w:t>Efektívna očakávaná pozitívna expozícia (EEPE) súboru vzájomného započítavania je vymedzená</w:t>
            </w:r>
            <w:r w:rsidR="00CC28D3">
              <w:rPr>
                <w:rFonts w:ascii="Times New Roman" w:hAnsi="Times New Roman"/>
                <w:color w:val="auto"/>
              </w:rPr>
              <w:t xml:space="preserve"> v </w:t>
            </w:r>
            <w:r w:rsidRPr="00CC28D3">
              <w:rPr>
                <w:rFonts w:ascii="Times New Roman" w:hAnsi="Times New Roman"/>
                <w:color w:val="auto"/>
              </w:rPr>
              <w:t xml:space="preserve">článku 272 ods. 22 nariadenia (EÚ) </w:t>
            </w:r>
            <w:r w:rsidR="00CC28D3">
              <w:rPr>
                <w:rFonts w:ascii="Times New Roman" w:hAnsi="Times New Roman"/>
                <w:color w:val="auto"/>
              </w:rPr>
              <w:t>č. </w:t>
            </w:r>
            <w:r w:rsidRPr="00CC28D3">
              <w:rPr>
                <w:rFonts w:ascii="Times New Roman" w:hAnsi="Times New Roman"/>
                <w:color w:val="auto"/>
              </w:rPr>
              <w:t>575/2013</w:t>
            </w:r>
            <w:r w:rsidR="00CC28D3">
              <w:rPr>
                <w:rFonts w:ascii="Times New Roman" w:hAnsi="Times New Roman"/>
                <w:color w:val="auto"/>
              </w:rPr>
              <w:t xml:space="preserve"> a </w:t>
            </w:r>
            <w:r w:rsidRPr="00CC28D3">
              <w:rPr>
                <w:rFonts w:ascii="Times New Roman" w:hAnsi="Times New Roman"/>
                <w:color w:val="auto"/>
              </w:rPr>
              <w:t>vypočítava sa</w:t>
            </w:r>
            <w:r w:rsidR="00CC28D3">
              <w:rPr>
                <w:rFonts w:ascii="Times New Roman" w:hAnsi="Times New Roman"/>
                <w:color w:val="auto"/>
              </w:rPr>
              <w:t xml:space="preserve"> v </w:t>
            </w:r>
            <w:r w:rsidRPr="00CC28D3">
              <w:rPr>
                <w:rFonts w:ascii="Times New Roman" w:hAnsi="Times New Roman"/>
                <w:color w:val="auto"/>
              </w:rPr>
              <w:t>súlade</w:t>
            </w:r>
            <w:r w:rsidR="00CC28D3">
              <w:rPr>
                <w:rFonts w:ascii="Times New Roman" w:hAnsi="Times New Roman"/>
                <w:color w:val="auto"/>
              </w:rPr>
              <w:t xml:space="preserve"> s </w:t>
            </w:r>
            <w:r w:rsidRPr="00CC28D3">
              <w:rPr>
                <w:rFonts w:ascii="Times New Roman" w:hAnsi="Times New Roman"/>
                <w:color w:val="auto"/>
              </w:rPr>
              <w:t xml:space="preserve">článkom 284 ods. 6 nariadenia (EÚ) </w:t>
            </w:r>
            <w:r w:rsidR="00CC28D3">
              <w:rPr>
                <w:rFonts w:ascii="Times New Roman" w:hAnsi="Times New Roman"/>
                <w:color w:val="auto"/>
              </w:rPr>
              <w:t>č. </w:t>
            </w:r>
            <w:r w:rsidRPr="00CC28D3">
              <w:rPr>
                <w:rFonts w:ascii="Times New Roman" w:hAnsi="Times New Roman"/>
                <w:color w:val="auto"/>
              </w:rPr>
              <w:t>575/2013.</w:t>
            </w:r>
          </w:p>
          <w:p w14:paraId="336DEF87" w14:textId="06B547AA" w:rsidR="00EF74C7" w:rsidRPr="00CC28D3" w:rsidRDefault="00EF74C7" w:rsidP="00822842">
            <w:pPr>
              <w:spacing w:before="60"/>
              <w:rPr>
                <w:rFonts w:ascii="Times New Roman" w:eastAsia="Calibri" w:hAnsi="Times New Roman"/>
                <w:sz w:val="24"/>
              </w:rPr>
            </w:pPr>
            <w:r w:rsidRPr="00CC28D3">
              <w:rPr>
                <w:rFonts w:ascii="Times New Roman" w:hAnsi="Times New Roman"/>
                <w:sz w:val="24"/>
              </w:rPr>
              <w:t>Inštitúcia vykazuje súčet všetkých EEPE použitých na určenie požiadaviek na vlastné zdroje</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284 ods. 3 nariadenia (EÚ) </w:t>
            </w:r>
            <w:r w:rsidR="00CC28D3">
              <w:rPr>
                <w:rFonts w:ascii="Times New Roman" w:hAnsi="Times New Roman"/>
                <w:sz w:val="24"/>
              </w:rPr>
              <w:t>č. </w:t>
            </w:r>
            <w:r w:rsidRPr="00CC28D3">
              <w:rPr>
                <w:rFonts w:ascii="Times New Roman" w:hAnsi="Times New Roman"/>
                <w:sz w:val="24"/>
              </w:rPr>
              <w:t>575/2013, t. j. buď EEPE vypočítaných pomocou aktuálnych trhových údajov, alebo EEPE vypočítaných pomocou stresovej kalibrácie, podľa toho, čo vedie</w:t>
            </w:r>
            <w:r w:rsidR="00CC28D3">
              <w:rPr>
                <w:rFonts w:ascii="Times New Roman" w:hAnsi="Times New Roman"/>
                <w:sz w:val="24"/>
              </w:rPr>
              <w:t xml:space="preserve"> k </w:t>
            </w:r>
            <w:r w:rsidRPr="00CC28D3">
              <w:rPr>
                <w:rFonts w:ascii="Times New Roman" w:hAnsi="Times New Roman"/>
                <w:sz w:val="24"/>
              </w:rPr>
              <w:t>vyššej požiadavke na vlastné zdroje.</w:t>
            </w:r>
          </w:p>
        </w:tc>
      </w:tr>
      <w:tr w:rsidR="00EF74C7" w:rsidRPr="00CC28D3" w14:paraId="663F4BA2" w14:textId="77777777" w:rsidTr="00822842">
        <w:trPr>
          <w:trHeight w:val="680"/>
        </w:trPr>
        <w:tc>
          <w:tcPr>
            <w:tcW w:w="1384" w:type="dxa"/>
          </w:tcPr>
          <w:p w14:paraId="36EC68F2" w14:textId="77777777" w:rsidR="00EF74C7" w:rsidRPr="00CC28D3" w:rsidRDefault="00EF74C7" w:rsidP="00822842">
            <w:pPr>
              <w:pStyle w:val="Applicationdirecte"/>
              <w:spacing w:before="0" w:after="0"/>
            </w:pPr>
            <w:r w:rsidRPr="00CC28D3">
              <w:t>0140</w:t>
            </w:r>
          </w:p>
        </w:tc>
        <w:tc>
          <w:tcPr>
            <w:tcW w:w="7655" w:type="dxa"/>
            <w:vAlign w:val="center"/>
          </w:tcPr>
          <w:p w14:paraId="65429B6F"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ALFA POUŽITÉ NA VÝPOČET REGULATÓRNEJ HODNOTY EXPOZÍCIE</w:t>
            </w:r>
          </w:p>
          <w:p w14:paraId="02E67AA1" w14:textId="379DEDBC" w:rsidR="00EF74C7" w:rsidRPr="00CC28D3" w:rsidRDefault="00EF74C7" w:rsidP="00822842">
            <w:pPr>
              <w:spacing w:before="60"/>
              <w:rPr>
                <w:rFonts w:ascii="Times New Roman" w:hAnsi="Times New Roman"/>
                <w:i/>
                <w:sz w:val="24"/>
              </w:rPr>
            </w:pPr>
            <w:r w:rsidRPr="00CC28D3">
              <w:rPr>
                <w:rFonts w:ascii="Times New Roman" w:hAnsi="Times New Roman"/>
                <w:sz w:val="24"/>
              </w:rPr>
              <w:t>Článok 274 ods. 2, článok 282 ods. 2, článok 281 ods. 1, článok 284 ods. 4</w:t>
            </w:r>
            <w:r w:rsidR="00CC28D3">
              <w:rPr>
                <w:rFonts w:ascii="Times New Roman" w:hAnsi="Times New Roman"/>
                <w:sz w:val="24"/>
              </w:rPr>
              <w:t xml:space="preserve"> a </w:t>
            </w:r>
            <w:r w:rsidRPr="00CC28D3">
              <w:rPr>
                <w:rFonts w:ascii="Times New Roman" w:hAnsi="Times New Roman"/>
                <w:sz w:val="24"/>
              </w:rPr>
              <w:t xml:space="preserve">9 nariadenia (EÚ) </w:t>
            </w:r>
            <w:r w:rsidR="00CC28D3">
              <w:rPr>
                <w:rFonts w:ascii="Times New Roman" w:hAnsi="Times New Roman"/>
                <w:sz w:val="24"/>
              </w:rPr>
              <w:t>č. </w:t>
            </w:r>
            <w:r w:rsidRPr="00CC28D3">
              <w:rPr>
                <w:rFonts w:ascii="Times New Roman" w:hAnsi="Times New Roman"/>
                <w:sz w:val="24"/>
              </w:rPr>
              <w:t>575/2013</w:t>
            </w:r>
          </w:p>
          <w:p w14:paraId="5EFB3579" w14:textId="22E22723" w:rsidR="00EF74C7" w:rsidRPr="00CC28D3" w:rsidRDefault="00EF74C7" w:rsidP="00822842">
            <w:pPr>
              <w:spacing w:before="60"/>
              <w:rPr>
                <w:rFonts w:ascii="Times New Roman" w:eastAsia="Calibri" w:hAnsi="Times New Roman"/>
                <w:i/>
                <w:sz w:val="24"/>
              </w:rPr>
            </w:pPr>
            <w:r w:rsidRPr="00CC28D3">
              <w:rPr>
                <w:rFonts w:ascii="Times New Roman" w:hAnsi="Times New Roman"/>
                <w:sz w:val="24"/>
              </w:rPr>
              <w:t>Hodnota α je</w:t>
            </w:r>
            <w:r w:rsidR="00CC28D3">
              <w:rPr>
                <w:rFonts w:ascii="Times New Roman" w:hAnsi="Times New Roman"/>
                <w:sz w:val="24"/>
              </w:rPr>
              <w:t xml:space="preserve"> v </w:t>
            </w:r>
            <w:r w:rsidRPr="00CC28D3">
              <w:rPr>
                <w:rFonts w:ascii="Times New Roman" w:hAnsi="Times New Roman"/>
                <w:sz w:val="24"/>
              </w:rPr>
              <w:t>riadkoch pre metódu pôvodnej expozície, zjednodušený prístup SA-CCR</w:t>
            </w:r>
            <w:r w:rsidR="00CC28D3">
              <w:rPr>
                <w:rFonts w:ascii="Times New Roman" w:hAnsi="Times New Roman"/>
                <w:sz w:val="24"/>
              </w:rPr>
              <w:t xml:space="preserve"> a </w:t>
            </w:r>
            <w:r w:rsidRPr="00CC28D3">
              <w:rPr>
                <w:rFonts w:ascii="Times New Roman" w:hAnsi="Times New Roman"/>
                <w:sz w:val="24"/>
              </w:rPr>
              <w:t>prístup SA-CCR pevne stanovená na úrovni 1,4</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článkom 282 ods. 2, článkom 281 ods. 1</w:t>
            </w:r>
            <w:r w:rsidR="00CC28D3">
              <w:rPr>
                <w:rFonts w:ascii="Times New Roman" w:hAnsi="Times New Roman"/>
                <w:sz w:val="24"/>
              </w:rPr>
              <w:t xml:space="preserve"> a </w:t>
            </w:r>
            <w:r w:rsidRPr="00CC28D3">
              <w:rPr>
                <w:rFonts w:ascii="Times New Roman" w:hAnsi="Times New Roman"/>
                <w:sz w:val="24"/>
              </w:rPr>
              <w:t xml:space="preserve">článkom 274 ods. 2 nariadenia (EÚ) </w:t>
            </w:r>
            <w:r w:rsidR="00CC28D3">
              <w:rPr>
                <w:rFonts w:ascii="Times New Roman" w:hAnsi="Times New Roman"/>
                <w:sz w:val="24"/>
              </w:rPr>
              <w:t>č. </w:t>
            </w:r>
            <w:r w:rsidRPr="00CC28D3">
              <w:rPr>
                <w:rFonts w:ascii="Times New Roman" w:hAnsi="Times New Roman"/>
                <w:sz w:val="24"/>
              </w:rPr>
              <w:t>575/2013. Na účely metódy interných modelov (IMM) môže mať α štandardnú hodnotu 1,4 alebo inú hodnotu, ak príslušné orgány požadujú vyššie α</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284 ods. 4 nariadenia (EÚ) </w:t>
            </w:r>
            <w:r w:rsidR="00CC28D3">
              <w:rPr>
                <w:rFonts w:ascii="Times New Roman" w:hAnsi="Times New Roman"/>
                <w:sz w:val="24"/>
              </w:rPr>
              <w:t>č. </w:t>
            </w:r>
            <w:r w:rsidRPr="00CC28D3">
              <w:rPr>
                <w:rFonts w:ascii="Times New Roman" w:hAnsi="Times New Roman"/>
                <w:sz w:val="24"/>
              </w:rPr>
              <w:t>575/2013 alebo ak inštitúciám povolia, aby použili vlastné odhady</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článkom 284 ods. 9 uvedeného nariadenia.</w:t>
            </w:r>
          </w:p>
        </w:tc>
      </w:tr>
      <w:tr w:rsidR="00EF74C7" w:rsidRPr="00CC28D3" w14:paraId="04AA2156" w14:textId="77777777" w:rsidTr="00822842">
        <w:trPr>
          <w:trHeight w:val="680"/>
        </w:trPr>
        <w:tc>
          <w:tcPr>
            <w:tcW w:w="1384" w:type="dxa"/>
          </w:tcPr>
          <w:p w14:paraId="25456D2E" w14:textId="77777777" w:rsidR="00EF74C7" w:rsidRPr="00CC28D3" w:rsidRDefault="00EF74C7" w:rsidP="00822842">
            <w:pPr>
              <w:pStyle w:val="Applicationdirecte"/>
              <w:spacing w:before="0" w:after="0"/>
            </w:pPr>
            <w:r w:rsidRPr="00CC28D3">
              <w:t>0150</w:t>
            </w:r>
          </w:p>
        </w:tc>
        <w:tc>
          <w:tcPr>
            <w:tcW w:w="7655" w:type="dxa"/>
          </w:tcPr>
          <w:p w14:paraId="2B4D1501" w14:textId="77777777" w:rsidR="00CC28D3" w:rsidRDefault="00EF74C7" w:rsidP="00822842">
            <w:pPr>
              <w:pStyle w:val="TableMainHeading"/>
              <w:jc w:val="both"/>
              <w:rPr>
                <w:rStyle w:val="InstructionsTabelleberschrift"/>
                <w:rFonts w:ascii="Times New Roman" w:hAnsi="Times New Roman"/>
                <w:sz w:val="24"/>
              </w:rPr>
            </w:pPr>
            <w:r w:rsidRPr="00CC28D3">
              <w:rPr>
                <w:rStyle w:val="InstructionsTabelleberschrift"/>
                <w:rFonts w:ascii="Times New Roman" w:hAnsi="Times New Roman"/>
                <w:sz w:val="24"/>
              </w:rPr>
              <w:t>HODNOTA EXPOZÍCIE PRED ZMIERŇOVANÍM KREDITNÉHO RIZIKA</w:t>
            </w:r>
          </w:p>
          <w:p w14:paraId="15A1A558" w14:textId="1286BCEF" w:rsidR="00CC28D3" w:rsidRDefault="00EF74C7" w:rsidP="00822842">
            <w:pPr>
              <w:pStyle w:val="TableMainHeading"/>
              <w:spacing w:before="60"/>
              <w:jc w:val="both"/>
              <w:rPr>
                <w:rFonts w:ascii="Times New Roman" w:hAnsi="Times New Roman"/>
                <w:sz w:val="24"/>
              </w:rPr>
            </w:pPr>
            <w:r w:rsidRPr="00CC28D3">
              <w:rPr>
                <w:rFonts w:ascii="Times New Roman" w:hAnsi="Times New Roman"/>
                <w:sz w:val="24"/>
              </w:rPr>
              <w:lastRenderedPageBreak/>
              <w:t>Hodnota expozície pred zmierňovaním kreditného rizika pri súboroch vzájomného započítavania CCR sa vypočítava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metódami stanovenými</w:t>
            </w:r>
            <w:r w:rsidR="00CC28D3">
              <w:rPr>
                <w:rFonts w:ascii="Times New Roman" w:hAnsi="Times New Roman"/>
                <w:sz w:val="24"/>
              </w:rPr>
              <w:t xml:space="preserve"> v </w:t>
            </w:r>
            <w:r w:rsidRPr="00CC28D3">
              <w:rPr>
                <w:rFonts w:ascii="Times New Roman" w:hAnsi="Times New Roman"/>
                <w:sz w:val="24"/>
              </w:rPr>
              <w:t>tretej časti hlave II kapitolách 4</w:t>
            </w:r>
            <w:r w:rsidR="00CC28D3">
              <w:rPr>
                <w:rFonts w:ascii="Times New Roman" w:hAnsi="Times New Roman"/>
                <w:sz w:val="24"/>
              </w:rPr>
              <w:t xml:space="preserve"> a </w:t>
            </w:r>
            <w:r w:rsidRPr="00CC28D3">
              <w:rPr>
                <w:rFonts w:ascii="Times New Roman" w:hAnsi="Times New Roman"/>
                <w:sz w:val="24"/>
              </w:rPr>
              <w:t xml:space="preserve">6 nariadenia (EÚ) </w:t>
            </w:r>
            <w:r w:rsidR="00CC28D3">
              <w:rPr>
                <w:rFonts w:ascii="Times New Roman" w:hAnsi="Times New Roman"/>
                <w:sz w:val="24"/>
              </w:rPr>
              <w:t>č. </w:t>
            </w:r>
            <w:r w:rsidRPr="00CC28D3">
              <w:rPr>
                <w:rFonts w:ascii="Times New Roman" w:hAnsi="Times New Roman"/>
                <w:sz w:val="24"/>
              </w:rPr>
              <w:t xml:space="preserve">575/2013, pričom sa zohľadňuje účinok vzájomného započítavania, ale nezohľadňujú sa žiadne iné postupy zmierňovania kreditného rizika (napr. </w:t>
            </w:r>
            <w:proofErr w:type="spellStart"/>
            <w:r w:rsidRPr="00CC28D3">
              <w:rPr>
                <w:rFonts w:ascii="Times New Roman" w:hAnsi="Times New Roman"/>
                <w:sz w:val="24"/>
              </w:rPr>
              <w:t>maržový</w:t>
            </w:r>
            <w:proofErr w:type="spellEnd"/>
            <w:r w:rsidRPr="00CC28D3">
              <w:rPr>
                <w:rFonts w:ascii="Times New Roman" w:hAnsi="Times New Roman"/>
                <w:sz w:val="24"/>
              </w:rPr>
              <w:t xml:space="preserve"> kolaterál)</w:t>
            </w:r>
            <w:r w:rsidR="00CC28D3">
              <w:rPr>
                <w:rFonts w:ascii="Times New Roman" w:hAnsi="Times New Roman"/>
                <w:sz w:val="24"/>
              </w:rPr>
              <w:t>.</w:t>
            </w:r>
          </w:p>
          <w:p w14:paraId="39716565" w14:textId="13C49F1A" w:rsidR="00CC28D3" w:rsidRDefault="00EF74C7" w:rsidP="00822842">
            <w:pPr>
              <w:pStyle w:val="TableMainHeading"/>
              <w:spacing w:before="60"/>
              <w:jc w:val="both"/>
              <w:rPr>
                <w:rFonts w:ascii="Times New Roman" w:hAnsi="Times New Roman"/>
                <w:sz w:val="24"/>
              </w:rPr>
            </w:pPr>
            <w:r w:rsidRPr="00CC28D3">
              <w:rPr>
                <w:rFonts w:ascii="Times New Roman" w:hAnsi="Times New Roman"/>
                <w:sz w:val="24"/>
              </w:rPr>
              <w:t>V prípade SFT sa časť týkajúca sa cenných papierov nezohľadňuje pri určovaní hodnoty expozície pred zmierňovaním kreditného rizika, keď sa kolaterál prijíma,</w:t>
            </w:r>
            <w:r w:rsidR="00CC28D3">
              <w:rPr>
                <w:rFonts w:ascii="Times New Roman" w:hAnsi="Times New Roman"/>
                <w:sz w:val="24"/>
              </w:rPr>
              <w:t xml:space="preserve"> a </w:t>
            </w:r>
            <w:r w:rsidRPr="00CC28D3">
              <w:rPr>
                <w:rFonts w:ascii="Times New Roman" w:hAnsi="Times New Roman"/>
                <w:sz w:val="24"/>
              </w:rPr>
              <w:t>preto neznižuje hodnotu expozície. Naopak, časť SFT týkajúca sa cenných papierov sa riadne zohľadňuje pri určovaní hodnoty expozície pred zmierňovaním kreditného rizika, keď sa kolaterál poskytuje</w:t>
            </w:r>
            <w:r w:rsidR="00CC28D3">
              <w:rPr>
                <w:rFonts w:ascii="Times New Roman" w:hAnsi="Times New Roman"/>
                <w:sz w:val="24"/>
              </w:rPr>
              <w:t>.</w:t>
            </w:r>
          </w:p>
          <w:p w14:paraId="49D3FA7D" w14:textId="39FE74B8" w:rsidR="00CC28D3" w:rsidRDefault="00EF74C7" w:rsidP="00822842">
            <w:pPr>
              <w:pStyle w:val="TableMainHeading"/>
              <w:spacing w:before="60"/>
              <w:jc w:val="both"/>
              <w:rPr>
                <w:rFonts w:ascii="Times New Roman" w:hAnsi="Times New Roman"/>
                <w:sz w:val="24"/>
              </w:rPr>
            </w:pPr>
            <w:r w:rsidRPr="00CC28D3">
              <w:rPr>
                <w:rFonts w:ascii="Times New Roman" w:hAnsi="Times New Roman"/>
                <w:sz w:val="24"/>
              </w:rPr>
              <w:t>Okrem toho sa</w:t>
            </w:r>
            <w:r w:rsidR="00CC28D3">
              <w:rPr>
                <w:rFonts w:ascii="Times New Roman" w:hAnsi="Times New Roman"/>
                <w:sz w:val="24"/>
              </w:rPr>
              <w:t xml:space="preserve"> s </w:t>
            </w:r>
            <w:r w:rsidRPr="00CC28D3">
              <w:rPr>
                <w:rFonts w:ascii="Times New Roman" w:hAnsi="Times New Roman"/>
                <w:sz w:val="24"/>
              </w:rPr>
              <w:t>obchodnou činnosťou, ktorá je zabezpečená kolaterálom, zaobchádza ako</w:t>
            </w:r>
            <w:r w:rsidR="00CC28D3">
              <w:rPr>
                <w:rFonts w:ascii="Times New Roman" w:hAnsi="Times New Roman"/>
                <w:sz w:val="24"/>
              </w:rPr>
              <w:t xml:space="preserve"> s </w:t>
            </w:r>
            <w:r w:rsidRPr="00CC28D3">
              <w:rPr>
                <w:rFonts w:ascii="Times New Roman" w:hAnsi="Times New Roman"/>
                <w:sz w:val="24"/>
              </w:rPr>
              <w:t xml:space="preserve">obchodnou činnosťou, ktorá nie je zabezpečená kolaterálom, t. j. neuplatňujú sa žiadne účinky </w:t>
            </w:r>
            <w:proofErr w:type="spellStart"/>
            <w:r w:rsidRPr="00CC28D3">
              <w:rPr>
                <w:rFonts w:ascii="Times New Roman" w:hAnsi="Times New Roman"/>
                <w:sz w:val="24"/>
              </w:rPr>
              <w:t>dozabezpečenia</w:t>
            </w:r>
            <w:proofErr w:type="spellEnd"/>
            <w:r w:rsidR="00CC28D3">
              <w:rPr>
                <w:rFonts w:ascii="Times New Roman" w:hAnsi="Times New Roman"/>
                <w:sz w:val="24"/>
              </w:rPr>
              <w:t>.</w:t>
            </w:r>
          </w:p>
          <w:p w14:paraId="24DC7AD6" w14:textId="7ADCC980" w:rsidR="00CC28D3" w:rsidRDefault="00EF74C7" w:rsidP="00822842">
            <w:pPr>
              <w:spacing w:before="60"/>
              <w:rPr>
                <w:rFonts w:ascii="Times New Roman" w:hAnsi="Times New Roman"/>
                <w:sz w:val="24"/>
              </w:rPr>
            </w:pPr>
            <w:r w:rsidRPr="00CC28D3">
              <w:rPr>
                <w:rFonts w:ascii="Times New Roman" w:hAnsi="Times New Roman"/>
                <w:sz w:val="24"/>
              </w:rPr>
              <w:t>Hodnota expozície pred zmierňovaním kreditného rizika</w:t>
            </w:r>
            <w:r w:rsidR="00CC28D3">
              <w:rPr>
                <w:rFonts w:ascii="Times New Roman" w:hAnsi="Times New Roman"/>
                <w:sz w:val="24"/>
              </w:rPr>
              <w:t xml:space="preserve"> v </w:t>
            </w:r>
            <w:r w:rsidRPr="00CC28D3">
              <w:rPr>
                <w:rFonts w:ascii="Times New Roman" w:hAnsi="Times New Roman"/>
                <w:sz w:val="24"/>
              </w:rPr>
              <w:t>prípade transakcií,</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bolo identifikované špecifické riziko nesprávnej voľby, musí byť určená</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291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w:t>
            </w:r>
          </w:p>
          <w:p w14:paraId="5D9F072F" w14:textId="29492AB6" w:rsidR="00CC28D3" w:rsidRDefault="00EF74C7" w:rsidP="00822842">
            <w:pPr>
              <w:spacing w:before="60"/>
              <w:rPr>
                <w:rFonts w:ascii="Times New Roman" w:hAnsi="Times New Roman"/>
                <w:sz w:val="24"/>
              </w:rPr>
            </w:pPr>
            <w:r w:rsidRPr="00CC28D3">
              <w:rPr>
                <w:rFonts w:ascii="Times New Roman" w:hAnsi="Times New Roman"/>
                <w:sz w:val="24"/>
              </w:rPr>
              <w:t>V hodnote expozície pred zmierňovaním kreditného rizika sa nezohľadňuje odpočet vzniknutej straty</w:t>
            </w:r>
            <w:r w:rsidR="00CC28D3">
              <w:rPr>
                <w:rFonts w:ascii="Times New Roman" w:hAnsi="Times New Roman"/>
                <w:sz w:val="24"/>
              </w:rPr>
              <w:t xml:space="preserve"> z </w:t>
            </w:r>
            <w:r w:rsidRPr="00CC28D3">
              <w:rPr>
                <w:rFonts w:ascii="Times New Roman" w:hAnsi="Times New Roman"/>
                <w:sz w:val="24"/>
              </w:rPr>
              <w:t>celkovej úpravy ocenenia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273 ods. 6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w:t>
            </w:r>
          </w:p>
          <w:p w14:paraId="504F1374" w14:textId="2A77503F" w:rsidR="00EF74C7" w:rsidRPr="00CC28D3" w:rsidRDefault="00EF74C7" w:rsidP="00822842">
            <w:pPr>
              <w:spacing w:before="60"/>
              <w:rPr>
                <w:rFonts w:ascii="Times New Roman" w:hAnsi="Times New Roman"/>
                <w:i/>
                <w:sz w:val="24"/>
              </w:rPr>
            </w:pPr>
            <w:r w:rsidRPr="00CC28D3">
              <w:rPr>
                <w:rFonts w:ascii="Times New Roman" w:hAnsi="Times New Roman"/>
                <w:sz w:val="24"/>
              </w:rPr>
              <w:t>Inštitúcia vykazuje</w:t>
            </w:r>
            <w:r w:rsidR="00CC28D3">
              <w:rPr>
                <w:rFonts w:ascii="Times New Roman" w:hAnsi="Times New Roman"/>
                <w:sz w:val="24"/>
              </w:rPr>
              <w:t xml:space="preserve"> v </w:t>
            </w:r>
            <w:r w:rsidRPr="00CC28D3">
              <w:rPr>
                <w:rFonts w:ascii="Times New Roman" w:hAnsi="Times New Roman"/>
                <w:sz w:val="24"/>
              </w:rPr>
              <w:t>príslušnom riadku súčet všetkých hodnôt expozície pred zmierňovaním kreditného rizika.</w:t>
            </w:r>
          </w:p>
        </w:tc>
      </w:tr>
      <w:tr w:rsidR="00EF74C7" w:rsidRPr="00CC28D3" w14:paraId="79D7A4AF" w14:textId="77777777" w:rsidTr="00822842">
        <w:trPr>
          <w:trHeight w:val="680"/>
        </w:trPr>
        <w:tc>
          <w:tcPr>
            <w:tcW w:w="1384" w:type="dxa"/>
          </w:tcPr>
          <w:p w14:paraId="0DCD8BB4" w14:textId="77777777" w:rsidR="00EF74C7" w:rsidRPr="00CC28D3" w:rsidRDefault="00EF74C7" w:rsidP="00822842">
            <w:pPr>
              <w:pStyle w:val="Applicationdirecte"/>
              <w:spacing w:before="0" w:after="0"/>
            </w:pPr>
            <w:r w:rsidRPr="00CC28D3">
              <w:lastRenderedPageBreak/>
              <w:t>0160</w:t>
            </w:r>
          </w:p>
        </w:tc>
        <w:tc>
          <w:tcPr>
            <w:tcW w:w="7655" w:type="dxa"/>
          </w:tcPr>
          <w:p w14:paraId="6DD75073" w14:textId="77777777" w:rsidR="00CC28D3" w:rsidRDefault="00EF74C7" w:rsidP="00822842">
            <w:pPr>
              <w:pStyle w:val="TableMainHeading"/>
              <w:jc w:val="both"/>
              <w:rPr>
                <w:rStyle w:val="InstructionsTabelleberschrift"/>
                <w:rFonts w:ascii="Times New Roman" w:hAnsi="Times New Roman"/>
                <w:sz w:val="24"/>
              </w:rPr>
            </w:pPr>
            <w:r w:rsidRPr="00CC28D3">
              <w:rPr>
                <w:rStyle w:val="InstructionsTabelleberschrift"/>
                <w:rFonts w:ascii="Times New Roman" w:hAnsi="Times New Roman"/>
                <w:sz w:val="24"/>
              </w:rPr>
              <w:t>HODNOTA EXPOZÍCIE PO ZMIERŇOVANÍ KREDITNÉHO RIZIKA</w:t>
            </w:r>
          </w:p>
          <w:p w14:paraId="29261E0B" w14:textId="2F68D87C"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Hodnota expozície po zmierňovaní kreditného rizika pri súboroch vzájomného započítavania CCR sa vypočítava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metódami stanovenými</w:t>
            </w:r>
            <w:r w:rsidR="00CC28D3">
              <w:rPr>
                <w:rFonts w:ascii="Times New Roman" w:hAnsi="Times New Roman"/>
                <w:sz w:val="24"/>
              </w:rPr>
              <w:t xml:space="preserve"> v </w:t>
            </w:r>
            <w:r w:rsidRPr="00CC28D3">
              <w:rPr>
                <w:rFonts w:ascii="Times New Roman" w:hAnsi="Times New Roman"/>
                <w:sz w:val="24"/>
              </w:rPr>
              <w:t>tretej časti hlave II kapitolách 4</w:t>
            </w:r>
            <w:r w:rsidR="00CC28D3">
              <w:rPr>
                <w:rFonts w:ascii="Times New Roman" w:hAnsi="Times New Roman"/>
                <w:sz w:val="24"/>
              </w:rPr>
              <w:t xml:space="preserve"> a </w:t>
            </w:r>
            <w:r w:rsidRPr="00CC28D3">
              <w:rPr>
                <w:rFonts w:ascii="Times New Roman" w:hAnsi="Times New Roman"/>
                <w:sz w:val="24"/>
              </w:rPr>
              <w:t xml:space="preserve">6 nariadenia (EÚ) </w:t>
            </w:r>
            <w:r w:rsidR="00CC28D3">
              <w:rPr>
                <w:rFonts w:ascii="Times New Roman" w:hAnsi="Times New Roman"/>
                <w:sz w:val="24"/>
              </w:rPr>
              <w:t>č. </w:t>
            </w:r>
            <w:r w:rsidRPr="00CC28D3">
              <w:rPr>
                <w:rFonts w:ascii="Times New Roman" w:hAnsi="Times New Roman"/>
                <w:sz w:val="24"/>
              </w:rPr>
              <w:t>575/2013 po uplatnení príslušných postupov zmierňovania kreditného rizika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treťou časťou hlavou II kapitolami 4</w:t>
            </w:r>
            <w:r w:rsidR="00CC28D3">
              <w:rPr>
                <w:rFonts w:ascii="Times New Roman" w:hAnsi="Times New Roman"/>
                <w:sz w:val="24"/>
              </w:rPr>
              <w:t xml:space="preserve"> a </w:t>
            </w:r>
            <w:r w:rsidRPr="00CC28D3">
              <w:rPr>
                <w:rFonts w:ascii="Times New Roman" w:hAnsi="Times New Roman"/>
                <w:sz w:val="24"/>
              </w:rPr>
              <w:t>6 uvedeného nariadenia.</w:t>
            </w:r>
          </w:p>
          <w:p w14:paraId="0D063F1C" w14:textId="67DCEDF7" w:rsidR="00CC28D3" w:rsidRDefault="00EF74C7" w:rsidP="00822842">
            <w:pPr>
              <w:spacing w:before="60"/>
              <w:rPr>
                <w:rFonts w:ascii="Times New Roman" w:hAnsi="Times New Roman"/>
                <w:sz w:val="24"/>
              </w:rPr>
            </w:pPr>
            <w:r w:rsidRPr="00CC28D3">
              <w:rPr>
                <w:rFonts w:ascii="Times New Roman" w:hAnsi="Times New Roman"/>
                <w:sz w:val="24"/>
              </w:rPr>
              <w:t>Hodnota expozície po zmierňovaní kreditného rizika</w:t>
            </w:r>
            <w:r w:rsidR="00CC28D3">
              <w:rPr>
                <w:rFonts w:ascii="Times New Roman" w:hAnsi="Times New Roman"/>
                <w:sz w:val="24"/>
              </w:rPr>
              <w:t xml:space="preserve"> v </w:t>
            </w:r>
            <w:r w:rsidRPr="00CC28D3">
              <w:rPr>
                <w:rFonts w:ascii="Times New Roman" w:hAnsi="Times New Roman"/>
                <w:sz w:val="24"/>
              </w:rPr>
              <w:t>prípade transakcií,</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bolo identifikované špecifické riziko nesprávnej voľby, musí byť určená</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291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w:t>
            </w:r>
          </w:p>
          <w:p w14:paraId="695EEB6F" w14:textId="5E5D469F" w:rsidR="00EF74C7" w:rsidRPr="00CC28D3" w:rsidRDefault="00EF74C7" w:rsidP="00822842">
            <w:pPr>
              <w:spacing w:before="60"/>
              <w:rPr>
                <w:rFonts w:ascii="Times New Roman" w:hAnsi="Times New Roman"/>
                <w:sz w:val="24"/>
              </w:rPr>
            </w:pPr>
            <w:r w:rsidRPr="00CC28D3">
              <w:rPr>
                <w:rFonts w:ascii="Times New Roman" w:hAnsi="Times New Roman"/>
                <w:sz w:val="24"/>
              </w:rPr>
              <w:t>V hodnote expozície po zmierňovaní kreditného rizika sa nezohľadňuje odpočet vzniknutej straty</w:t>
            </w:r>
            <w:r w:rsidR="00CC28D3">
              <w:rPr>
                <w:rFonts w:ascii="Times New Roman" w:hAnsi="Times New Roman"/>
                <w:sz w:val="24"/>
              </w:rPr>
              <w:t xml:space="preserve"> z </w:t>
            </w:r>
            <w:r w:rsidRPr="00CC28D3">
              <w:rPr>
                <w:rFonts w:ascii="Times New Roman" w:hAnsi="Times New Roman"/>
                <w:sz w:val="24"/>
              </w:rPr>
              <w:t>celkovej úpravy ocenenia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273 ods. 6 nariadenia (EÚ) </w:t>
            </w:r>
            <w:r w:rsidR="00CC28D3">
              <w:rPr>
                <w:rFonts w:ascii="Times New Roman" w:hAnsi="Times New Roman"/>
                <w:sz w:val="24"/>
              </w:rPr>
              <w:t>č. </w:t>
            </w:r>
            <w:r w:rsidRPr="00CC28D3">
              <w:rPr>
                <w:rFonts w:ascii="Times New Roman" w:hAnsi="Times New Roman"/>
                <w:sz w:val="24"/>
              </w:rPr>
              <w:t>575/2013.</w:t>
            </w:r>
          </w:p>
          <w:p w14:paraId="797ADF5B" w14:textId="1483D183" w:rsidR="00EF74C7" w:rsidRPr="00CC28D3" w:rsidRDefault="00EF74C7" w:rsidP="00822842">
            <w:pPr>
              <w:spacing w:before="60"/>
              <w:rPr>
                <w:rFonts w:ascii="Times New Roman" w:hAnsi="Times New Roman"/>
                <w:i/>
                <w:sz w:val="24"/>
              </w:rPr>
            </w:pPr>
            <w:r w:rsidRPr="00CC28D3">
              <w:rPr>
                <w:rFonts w:ascii="Times New Roman" w:hAnsi="Times New Roman"/>
                <w:sz w:val="24"/>
              </w:rPr>
              <w:t>Inštitúcia vykazuje</w:t>
            </w:r>
            <w:r w:rsidR="00CC28D3">
              <w:rPr>
                <w:rFonts w:ascii="Times New Roman" w:hAnsi="Times New Roman"/>
                <w:sz w:val="24"/>
              </w:rPr>
              <w:t xml:space="preserve"> v </w:t>
            </w:r>
            <w:r w:rsidRPr="00CC28D3">
              <w:rPr>
                <w:rFonts w:ascii="Times New Roman" w:hAnsi="Times New Roman"/>
                <w:sz w:val="24"/>
              </w:rPr>
              <w:t>príslušnom riadku súčet všetkých hodnôt expozície po zmierňovaní kreditného rizika.</w:t>
            </w:r>
          </w:p>
        </w:tc>
      </w:tr>
      <w:tr w:rsidR="00EF74C7" w:rsidRPr="00CC28D3" w14:paraId="45FF5B7E" w14:textId="77777777" w:rsidTr="00822842">
        <w:trPr>
          <w:trHeight w:val="680"/>
        </w:trPr>
        <w:tc>
          <w:tcPr>
            <w:tcW w:w="1384" w:type="dxa"/>
          </w:tcPr>
          <w:p w14:paraId="60D5CCE0" w14:textId="77777777" w:rsidR="00EF74C7" w:rsidRPr="00CC28D3" w:rsidRDefault="00EF74C7" w:rsidP="00822842">
            <w:pPr>
              <w:pStyle w:val="Applicationdirecte"/>
              <w:spacing w:before="0" w:after="0"/>
            </w:pPr>
            <w:r w:rsidRPr="00CC28D3">
              <w:t>0170</w:t>
            </w:r>
          </w:p>
        </w:tc>
        <w:tc>
          <w:tcPr>
            <w:tcW w:w="7655" w:type="dxa"/>
            <w:vAlign w:val="center"/>
          </w:tcPr>
          <w:p w14:paraId="05219E98" w14:textId="77777777"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HODNOTA EXPOZÍCIE</w:t>
            </w:r>
          </w:p>
          <w:p w14:paraId="47B770BD" w14:textId="21172563" w:rsidR="00CC28D3" w:rsidRDefault="00EF74C7" w:rsidP="00822842">
            <w:pPr>
              <w:pStyle w:val="TableMainHeading"/>
              <w:spacing w:before="60"/>
              <w:jc w:val="both"/>
              <w:rPr>
                <w:rFonts w:ascii="Times New Roman" w:hAnsi="Times New Roman"/>
                <w:sz w:val="24"/>
              </w:rPr>
            </w:pPr>
            <w:r w:rsidRPr="00CC28D3">
              <w:rPr>
                <w:rFonts w:ascii="Times New Roman" w:hAnsi="Times New Roman"/>
                <w:sz w:val="24"/>
              </w:rPr>
              <w:t>Hodnota expozície</w:t>
            </w:r>
            <w:r w:rsidR="00CC28D3">
              <w:rPr>
                <w:rFonts w:ascii="Times New Roman" w:hAnsi="Times New Roman"/>
                <w:sz w:val="24"/>
              </w:rPr>
              <w:t xml:space="preserve"> v </w:t>
            </w:r>
            <w:r w:rsidRPr="00CC28D3">
              <w:rPr>
                <w:rFonts w:ascii="Times New Roman" w:hAnsi="Times New Roman"/>
                <w:sz w:val="24"/>
              </w:rPr>
              <w:t>prípade súborov vzájomného započítavania CCR, vypočítaná</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metódami stanovenými</w:t>
            </w:r>
            <w:r w:rsidR="00CC28D3">
              <w:rPr>
                <w:rFonts w:ascii="Times New Roman" w:hAnsi="Times New Roman"/>
                <w:sz w:val="24"/>
              </w:rPr>
              <w:t xml:space="preserve"> v </w:t>
            </w:r>
            <w:r w:rsidRPr="00CC28D3">
              <w:rPr>
                <w:rFonts w:ascii="Times New Roman" w:hAnsi="Times New Roman"/>
                <w:sz w:val="24"/>
              </w:rPr>
              <w:t>tretej časti hlave II kapitolách 4</w:t>
            </w:r>
            <w:r w:rsidR="00CC28D3">
              <w:rPr>
                <w:rFonts w:ascii="Times New Roman" w:hAnsi="Times New Roman"/>
                <w:sz w:val="24"/>
              </w:rPr>
              <w:t xml:space="preserve"> a </w:t>
            </w:r>
            <w:r w:rsidRPr="00CC28D3">
              <w:rPr>
                <w:rFonts w:ascii="Times New Roman" w:hAnsi="Times New Roman"/>
                <w:sz w:val="24"/>
              </w:rPr>
              <w:t xml:space="preserve">6 nariadenia (EÚ) </w:t>
            </w:r>
            <w:r w:rsidR="00CC28D3">
              <w:rPr>
                <w:rFonts w:ascii="Times New Roman" w:hAnsi="Times New Roman"/>
                <w:sz w:val="24"/>
              </w:rPr>
              <w:t>č. </w:t>
            </w:r>
            <w:r w:rsidRPr="00CC28D3">
              <w:rPr>
                <w:rFonts w:ascii="Times New Roman" w:hAnsi="Times New Roman"/>
                <w:sz w:val="24"/>
              </w:rPr>
              <w:t>575/2013, ktorá je hodnotou relevantnou na výpočet hodnôt rizikovo vážených expozícií, t. j. po uplatnení príslušných postupov zmierňovania kreditného rizika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treťou časťou hlavou II kapitolami 4</w:t>
            </w:r>
            <w:r w:rsidR="00CC28D3">
              <w:rPr>
                <w:rFonts w:ascii="Times New Roman" w:hAnsi="Times New Roman"/>
                <w:sz w:val="24"/>
              </w:rPr>
              <w:t xml:space="preserve"> a </w:t>
            </w:r>
            <w:r w:rsidRPr="00CC28D3">
              <w:rPr>
                <w:rFonts w:ascii="Times New Roman" w:hAnsi="Times New Roman"/>
                <w:sz w:val="24"/>
              </w:rPr>
              <w:t xml:space="preserve">6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a </w:t>
            </w:r>
            <w:r w:rsidRPr="00CC28D3">
              <w:rPr>
                <w:rFonts w:ascii="Times New Roman" w:hAnsi="Times New Roman"/>
                <w:sz w:val="24"/>
              </w:rPr>
              <w:t>po zohľadnení odpočtu vzniknutej straty</w:t>
            </w:r>
            <w:r w:rsidR="00CC28D3">
              <w:rPr>
                <w:rFonts w:ascii="Times New Roman" w:hAnsi="Times New Roman"/>
                <w:sz w:val="24"/>
              </w:rPr>
              <w:t xml:space="preserve"> </w:t>
            </w:r>
            <w:r w:rsidR="00CC28D3">
              <w:rPr>
                <w:rFonts w:ascii="Times New Roman" w:hAnsi="Times New Roman"/>
                <w:sz w:val="24"/>
              </w:rPr>
              <w:lastRenderedPageBreak/>
              <w:t>z </w:t>
            </w:r>
            <w:r w:rsidRPr="00CC28D3">
              <w:rPr>
                <w:rFonts w:ascii="Times New Roman" w:hAnsi="Times New Roman"/>
                <w:sz w:val="24"/>
              </w:rPr>
              <w:t>celkovej úpravy ocenenia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273 ods. 6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w:t>
            </w:r>
          </w:p>
          <w:p w14:paraId="78D55FF1" w14:textId="395E76CA" w:rsidR="00EF74C7" w:rsidRPr="00CC28D3" w:rsidRDefault="00EF74C7" w:rsidP="00822842">
            <w:pPr>
              <w:rPr>
                <w:rFonts w:ascii="Times New Roman" w:hAnsi="Times New Roman"/>
                <w:sz w:val="24"/>
              </w:rPr>
            </w:pPr>
            <w:r w:rsidRPr="00CC28D3">
              <w:rPr>
                <w:rFonts w:ascii="Times New Roman" w:hAnsi="Times New Roman"/>
                <w:sz w:val="24"/>
              </w:rPr>
              <w:t>Hodnota expozície</w:t>
            </w:r>
            <w:r w:rsidR="00CC28D3">
              <w:rPr>
                <w:rFonts w:ascii="Times New Roman" w:hAnsi="Times New Roman"/>
                <w:sz w:val="24"/>
              </w:rPr>
              <w:t xml:space="preserve"> v </w:t>
            </w:r>
            <w:r w:rsidRPr="00CC28D3">
              <w:rPr>
                <w:rFonts w:ascii="Times New Roman" w:hAnsi="Times New Roman"/>
                <w:sz w:val="24"/>
              </w:rPr>
              <w:t>prípade transakcií,</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bolo identifikované špecifické riziko nesprávnej voľby, musí byť určená</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291 nariadenia (EÚ) </w:t>
            </w:r>
            <w:r w:rsidR="00CC28D3">
              <w:rPr>
                <w:rFonts w:ascii="Times New Roman" w:hAnsi="Times New Roman"/>
                <w:sz w:val="24"/>
              </w:rPr>
              <w:t>č. </w:t>
            </w:r>
            <w:r w:rsidRPr="00CC28D3">
              <w:rPr>
                <w:rFonts w:ascii="Times New Roman" w:hAnsi="Times New Roman"/>
                <w:sz w:val="24"/>
              </w:rPr>
              <w:t>575/2013.</w:t>
            </w:r>
          </w:p>
          <w:p w14:paraId="2CCE9704" w14:textId="64586A9E"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V prípadoch, keď sa pre jednu protistranu používa viac ako jeden prístup CCR, vzniknutá strata</w:t>
            </w:r>
            <w:r w:rsidR="00CC28D3">
              <w:rPr>
                <w:rFonts w:ascii="Times New Roman" w:hAnsi="Times New Roman"/>
                <w:sz w:val="24"/>
              </w:rPr>
              <w:t xml:space="preserve"> z </w:t>
            </w:r>
            <w:r w:rsidRPr="00CC28D3">
              <w:rPr>
                <w:rFonts w:ascii="Times New Roman" w:hAnsi="Times New Roman"/>
                <w:sz w:val="24"/>
              </w:rPr>
              <w:t>celkovej úpravy ocenenia, ktorá sa odpočítava na úrovni protistrany, sa</w:t>
            </w:r>
            <w:r w:rsidR="00CC28D3">
              <w:rPr>
                <w:rFonts w:ascii="Times New Roman" w:hAnsi="Times New Roman"/>
                <w:sz w:val="24"/>
              </w:rPr>
              <w:t xml:space="preserve"> v </w:t>
            </w:r>
            <w:r w:rsidRPr="00CC28D3">
              <w:rPr>
                <w:rFonts w:ascii="Times New Roman" w:hAnsi="Times New Roman"/>
                <w:sz w:val="24"/>
              </w:rPr>
              <w:t>rámci každého prístupu CCR priraďuje</w:t>
            </w:r>
            <w:r w:rsidR="00CC28D3">
              <w:rPr>
                <w:rFonts w:ascii="Times New Roman" w:hAnsi="Times New Roman"/>
                <w:sz w:val="24"/>
              </w:rPr>
              <w:t xml:space="preserve"> k </w:t>
            </w:r>
            <w:r w:rsidRPr="00CC28D3">
              <w:rPr>
                <w:rFonts w:ascii="Times New Roman" w:hAnsi="Times New Roman"/>
                <w:sz w:val="24"/>
              </w:rPr>
              <w:t>hodnote expozície rôznych súborov vzájomného započítavania, ktoré odrážajú pomer hodnoty expozície po zmierňovaní kreditného rizika príslušných súborov vzájomného započítavania</w:t>
            </w:r>
            <w:r w:rsidR="00CC28D3">
              <w:rPr>
                <w:rFonts w:ascii="Times New Roman" w:hAnsi="Times New Roman"/>
                <w:sz w:val="24"/>
              </w:rPr>
              <w:t xml:space="preserve"> k </w:t>
            </w:r>
            <w:r w:rsidRPr="00CC28D3">
              <w:rPr>
                <w:rFonts w:ascii="Times New Roman" w:hAnsi="Times New Roman"/>
                <w:sz w:val="24"/>
              </w:rPr>
              <w:t>celkovej hodnote expozície po zmierňovaní kreditného rizika protistrany.</w:t>
            </w:r>
          </w:p>
          <w:p w14:paraId="0C842EAD" w14:textId="0C9FC4AB" w:rsidR="00EF74C7" w:rsidRPr="00CC28D3" w:rsidRDefault="00EF74C7" w:rsidP="00822842">
            <w:r w:rsidRPr="00CC28D3">
              <w:rPr>
                <w:rFonts w:ascii="Times New Roman" w:hAnsi="Times New Roman"/>
                <w:sz w:val="24"/>
              </w:rPr>
              <w:t>Inštitúcia vykazuje</w:t>
            </w:r>
            <w:r w:rsidR="00CC28D3">
              <w:rPr>
                <w:rFonts w:ascii="Times New Roman" w:hAnsi="Times New Roman"/>
                <w:sz w:val="24"/>
              </w:rPr>
              <w:t xml:space="preserve"> v </w:t>
            </w:r>
            <w:r w:rsidRPr="00CC28D3">
              <w:rPr>
                <w:rFonts w:ascii="Times New Roman" w:hAnsi="Times New Roman"/>
                <w:sz w:val="24"/>
              </w:rPr>
              <w:t>príslušnom riadku súčet všetkých hodnôt expozície.</w:t>
            </w:r>
          </w:p>
        </w:tc>
      </w:tr>
      <w:tr w:rsidR="00EF74C7" w:rsidRPr="00CC28D3" w14:paraId="06C4F9AA" w14:textId="77777777" w:rsidTr="00822842">
        <w:trPr>
          <w:trHeight w:val="680"/>
        </w:trPr>
        <w:tc>
          <w:tcPr>
            <w:tcW w:w="1384" w:type="dxa"/>
          </w:tcPr>
          <w:p w14:paraId="7065D6E6" w14:textId="77777777" w:rsidR="00EF74C7" w:rsidRPr="00CC28D3" w:rsidRDefault="00EF74C7" w:rsidP="00822842">
            <w:pPr>
              <w:pStyle w:val="Applicationdirecte"/>
              <w:spacing w:before="0" w:after="0"/>
            </w:pPr>
            <w:r w:rsidRPr="00CC28D3">
              <w:lastRenderedPageBreak/>
              <w:t>0180</w:t>
            </w:r>
          </w:p>
        </w:tc>
        <w:tc>
          <w:tcPr>
            <w:tcW w:w="7655" w:type="dxa"/>
          </w:tcPr>
          <w:p w14:paraId="0DF22580" w14:textId="314623B7"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Pozície,</w:t>
            </w:r>
            <w:r w:rsidR="00CC28D3">
              <w:rPr>
                <w:rStyle w:val="InstructionsTabelleberschrift"/>
                <w:rFonts w:ascii="Times New Roman" w:hAnsi="Times New Roman"/>
                <w:sz w:val="24"/>
              </w:rPr>
              <w:t xml:space="preserve"> s </w:t>
            </w:r>
            <w:r w:rsidRPr="00CC28D3">
              <w:rPr>
                <w:rStyle w:val="InstructionsTabelleberschrift"/>
                <w:rFonts w:ascii="Times New Roman" w:hAnsi="Times New Roman"/>
                <w:sz w:val="24"/>
              </w:rPr>
              <w:t>ktorými sa zaobchádza podľa štandardizovaného prístupu ku kapitálovým požiadavkám</w:t>
            </w:r>
          </w:p>
          <w:p w14:paraId="1D95615D" w14:textId="3166139B" w:rsidR="00EF74C7" w:rsidRPr="00CC28D3" w:rsidRDefault="00EF74C7" w:rsidP="00822842">
            <w:pPr>
              <w:spacing w:before="60"/>
              <w:rPr>
                <w:rFonts w:ascii="Times New Roman" w:hAnsi="Times New Roman"/>
                <w:i/>
                <w:sz w:val="24"/>
              </w:rPr>
            </w:pPr>
            <w:r w:rsidRPr="00CC28D3">
              <w:rPr>
                <w:rFonts w:ascii="Times New Roman" w:hAnsi="Times New Roman"/>
                <w:sz w:val="24"/>
              </w:rPr>
              <w:t>Hodnota expozície voči CCR</w:t>
            </w:r>
            <w:r w:rsidR="00CC28D3">
              <w:rPr>
                <w:rFonts w:ascii="Times New Roman" w:hAnsi="Times New Roman"/>
                <w:sz w:val="24"/>
              </w:rPr>
              <w:t xml:space="preserve"> v </w:t>
            </w:r>
            <w:r w:rsidRPr="00CC28D3">
              <w:rPr>
                <w:rFonts w:ascii="Times New Roman" w:hAnsi="Times New Roman"/>
                <w:sz w:val="24"/>
              </w:rPr>
              <w:t>prípade pozícií,</w:t>
            </w:r>
            <w:r w:rsidR="00CC28D3">
              <w:rPr>
                <w:rFonts w:ascii="Times New Roman" w:hAnsi="Times New Roman"/>
                <w:sz w:val="24"/>
              </w:rPr>
              <w:t xml:space="preserve"> s </w:t>
            </w:r>
            <w:r w:rsidRPr="00CC28D3">
              <w:rPr>
                <w:rFonts w:ascii="Times New Roman" w:hAnsi="Times New Roman"/>
                <w:sz w:val="24"/>
              </w:rPr>
              <w:t>ktorými sa zaobchádza podľa štandardizovaného prístupu pre kreditné riziko</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2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16278C7D" w14:textId="77777777" w:rsidTr="00822842">
        <w:trPr>
          <w:trHeight w:val="557"/>
        </w:trPr>
        <w:tc>
          <w:tcPr>
            <w:tcW w:w="1384" w:type="dxa"/>
          </w:tcPr>
          <w:p w14:paraId="4DAAB02B" w14:textId="77777777" w:rsidR="00EF74C7" w:rsidRPr="00CC28D3" w:rsidRDefault="00EF74C7" w:rsidP="00822842">
            <w:pPr>
              <w:pStyle w:val="Applicationdirecte"/>
              <w:spacing w:before="0" w:after="0"/>
            </w:pPr>
            <w:r w:rsidRPr="00CC28D3">
              <w:t>0190</w:t>
            </w:r>
          </w:p>
        </w:tc>
        <w:tc>
          <w:tcPr>
            <w:tcW w:w="7655" w:type="dxa"/>
          </w:tcPr>
          <w:p w14:paraId="2835516A" w14:textId="4DB415C9"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Pozície,</w:t>
            </w:r>
            <w:r w:rsidR="00CC28D3">
              <w:rPr>
                <w:rStyle w:val="InstructionsTabelleberschrift"/>
                <w:rFonts w:ascii="Times New Roman" w:hAnsi="Times New Roman"/>
                <w:sz w:val="24"/>
              </w:rPr>
              <w:t xml:space="preserve"> s </w:t>
            </w:r>
            <w:r w:rsidRPr="00CC28D3">
              <w:rPr>
                <w:rStyle w:val="InstructionsTabelleberschrift"/>
                <w:rFonts w:ascii="Times New Roman" w:hAnsi="Times New Roman"/>
                <w:sz w:val="24"/>
              </w:rPr>
              <w:t>ktorými sa zaobchádza podľa prístupu CR IRB</w:t>
            </w:r>
          </w:p>
          <w:p w14:paraId="208129A6" w14:textId="23323F69" w:rsidR="00EF74C7" w:rsidRPr="00CC28D3" w:rsidRDefault="00EF74C7" w:rsidP="00822842">
            <w:pPr>
              <w:rPr>
                <w:rFonts w:ascii="Times New Roman" w:hAnsi="Times New Roman"/>
                <w:sz w:val="24"/>
              </w:rPr>
            </w:pPr>
            <w:r w:rsidRPr="00CC28D3">
              <w:rPr>
                <w:rFonts w:ascii="Times New Roman" w:hAnsi="Times New Roman"/>
                <w:sz w:val="24"/>
              </w:rPr>
              <w:t>Hodnota expozície voči CCR</w:t>
            </w:r>
            <w:r w:rsidR="00CC28D3">
              <w:rPr>
                <w:rFonts w:ascii="Times New Roman" w:hAnsi="Times New Roman"/>
                <w:sz w:val="24"/>
              </w:rPr>
              <w:t xml:space="preserve"> v </w:t>
            </w:r>
            <w:r w:rsidRPr="00CC28D3">
              <w:rPr>
                <w:rFonts w:ascii="Times New Roman" w:hAnsi="Times New Roman"/>
                <w:sz w:val="24"/>
              </w:rPr>
              <w:t>prípade pozícií,</w:t>
            </w:r>
            <w:r w:rsidR="00CC28D3">
              <w:rPr>
                <w:rFonts w:ascii="Times New Roman" w:hAnsi="Times New Roman"/>
                <w:sz w:val="24"/>
              </w:rPr>
              <w:t xml:space="preserve"> s </w:t>
            </w:r>
            <w:r w:rsidRPr="00CC28D3">
              <w:rPr>
                <w:rFonts w:ascii="Times New Roman" w:hAnsi="Times New Roman"/>
                <w:sz w:val="24"/>
              </w:rPr>
              <w:t>ktorými sa zaobchádza podľa prístupu IRB pre kreditné riziko</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3 nariadenia (EÚ) </w:t>
            </w:r>
            <w:r w:rsidR="00CC28D3">
              <w:rPr>
                <w:rFonts w:ascii="Times New Roman" w:hAnsi="Times New Roman"/>
                <w:sz w:val="24"/>
              </w:rPr>
              <w:t>č. </w:t>
            </w:r>
            <w:r w:rsidRPr="00CC28D3">
              <w:rPr>
                <w:rFonts w:ascii="Times New Roman" w:hAnsi="Times New Roman"/>
                <w:sz w:val="24"/>
              </w:rPr>
              <w:t xml:space="preserve">575/2013. </w:t>
            </w:r>
          </w:p>
        </w:tc>
      </w:tr>
      <w:tr w:rsidR="00EF74C7" w:rsidRPr="00CC28D3" w14:paraId="1D9862B5" w14:textId="77777777" w:rsidTr="00822842">
        <w:trPr>
          <w:trHeight w:val="680"/>
        </w:trPr>
        <w:tc>
          <w:tcPr>
            <w:tcW w:w="1384" w:type="dxa"/>
          </w:tcPr>
          <w:p w14:paraId="06456052" w14:textId="77777777" w:rsidR="00EF74C7" w:rsidRPr="00CC28D3" w:rsidRDefault="00EF74C7" w:rsidP="00822842">
            <w:pPr>
              <w:pStyle w:val="Applicationdirecte"/>
              <w:spacing w:before="0" w:after="0"/>
            </w:pPr>
            <w:r w:rsidRPr="00CC28D3">
              <w:t>0200</w:t>
            </w:r>
          </w:p>
        </w:tc>
        <w:tc>
          <w:tcPr>
            <w:tcW w:w="7655" w:type="dxa"/>
          </w:tcPr>
          <w:p w14:paraId="2E8CD327" w14:textId="77777777"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HODNOTY RIZIKOVO VÁŽENÝCH EXPOZÍCIÍ</w:t>
            </w:r>
          </w:p>
          <w:p w14:paraId="6B8D3CD5" w14:textId="6D1C7F10"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Hodnoty rizikovo vážených expozícií pre CCR</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92 ods. 3 nariadenia (EÚ) </w:t>
            </w:r>
            <w:r w:rsidR="00CC28D3">
              <w:rPr>
                <w:rFonts w:ascii="Times New Roman" w:hAnsi="Times New Roman"/>
                <w:sz w:val="24"/>
              </w:rPr>
              <w:t>č. </w:t>
            </w:r>
            <w:r w:rsidRPr="00CC28D3">
              <w:rPr>
                <w:rFonts w:ascii="Times New Roman" w:hAnsi="Times New Roman"/>
                <w:sz w:val="24"/>
              </w:rPr>
              <w:t>575/2013, ktoré sa vypočítavajú</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metódami stanovenými</w:t>
            </w:r>
            <w:r w:rsidR="00CC28D3">
              <w:rPr>
                <w:rFonts w:ascii="Times New Roman" w:hAnsi="Times New Roman"/>
                <w:sz w:val="24"/>
              </w:rPr>
              <w:t xml:space="preserve"> v </w:t>
            </w:r>
            <w:r w:rsidRPr="00CC28D3">
              <w:rPr>
                <w:rFonts w:ascii="Times New Roman" w:hAnsi="Times New Roman"/>
                <w:sz w:val="24"/>
              </w:rPr>
              <w:t>tretej časti hlave II kapitolách 2</w:t>
            </w:r>
            <w:r w:rsidR="00CC28D3">
              <w:rPr>
                <w:rFonts w:ascii="Times New Roman" w:hAnsi="Times New Roman"/>
                <w:sz w:val="24"/>
              </w:rPr>
              <w:t xml:space="preserve"> a </w:t>
            </w:r>
            <w:r w:rsidRPr="00CC28D3">
              <w:rPr>
                <w:rFonts w:ascii="Times New Roman" w:hAnsi="Times New Roman"/>
                <w:sz w:val="24"/>
              </w:rPr>
              <w:t>3.</w:t>
            </w:r>
          </w:p>
          <w:p w14:paraId="2463A407" w14:textId="2DD83C9E" w:rsidR="00EF74C7" w:rsidRPr="00CC28D3" w:rsidRDefault="00EF74C7" w:rsidP="00822842">
            <w:pPr>
              <w:rPr>
                <w:rFonts w:ascii="Times New Roman" w:hAnsi="Times New Roman"/>
                <w:sz w:val="24"/>
              </w:rPr>
            </w:pPr>
            <w:r w:rsidRPr="00CC28D3">
              <w:rPr>
                <w:rFonts w:ascii="Times New Roman" w:hAnsi="Times New Roman"/>
                <w:sz w:val="24"/>
              </w:rPr>
              <w:t>Zohľadňujú sa faktory na podporu MSP</w:t>
            </w:r>
            <w:r w:rsidR="00CC28D3">
              <w:rPr>
                <w:rFonts w:ascii="Times New Roman" w:hAnsi="Times New Roman"/>
                <w:sz w:val="24"/>
              </w:rPr>
              <w:t xml:space="preserve"> a </w:t>
            </w:r>
            <w:r w:rsidRPr="00CC28D3">
              <w:rPr>
                <w:rFonts w:ascii="Times New Roman" w:hAnsi="Times New Roman"/>
                <w:sz w:val="24"/>
              </w:rPr>
              <w:t>infraštruktúry stanovené</w:t>
            </w:r>
            <w:r w:rsidR="00CC28D3">
              <w:rPr>
                <w:rFonts w:ascii="Times New Roman" w:hAnsi="Times New Roman"/>
                <w:sz w:val="24"/>
              </w:rPr>
              <w:t xml:space="preserve"> v </w:t>
            </w:r>
            <w:r w:rsidRPr="00CC28D3">
              <w:rPr>
                <w:rFonts w:ascii="Times New Roman" w:hAnsi="Times New Roman"/>
                <w:sz w:val="24"/>
              </w:rPr>
              <w:t>článkoch 501</w:t>
            </w:r>
            <w:r w:rsidR="00CC28D3">
              <w:rPr>
                <w:rFonts w:ascii="Times New Roman" w:hAnsi="Times New Roman"/>
                <w:sz w:val="24"/>
              </w:rPr>
              <w:t xml:space="preserve"> a </w:t>
            </w:r>
            <w:r w:rsidRPr="00CC28D3">
              <w:rPr>
                <w:rFonts w:ascii="Times New Roman" w:hAnsi="Times New Roman"/>
                <w:sz w:val="24"/>
              </w:rPr>
              <w:t xml:space="preserve">501a nariadenia (EÚ) </w:t>
            </w:r>
            <w:r w:rsidR="00CC28D3">
              <w:rPr>
                <w:rFonts w:ascii="Times New Roman" w:hAnsi="Times New Roman"/>
                <w:sz w:val="24"/>
              </w:rPr>
              <w:t>č. </w:t>
            </w:r>
            <w:r w:rsidRPr="00CC28D3">
              <w:rPr>
                <w:rFonts w:ascii="Times New Roman" w:hAnsi="Times New Roman"/>
                <w:sz w:val="24"/>
              </w:rPr>
              <w:t xml:space="preserve">575/2013. </w:t>
            </w:r>
          </w:p>
        </w:tc>
      </w:tr>
      <w:tr w:rsidR="00EF74C7" w:rsidRPr="00CC28D3"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CC28D3" w:rsidRDefault="00EF74C7" w:rsidP="00822842">
            <w:pPr>
              <w:pStyle w:val="Applicationdirecte"/>
              <w:spacing w:before="0"/>
              <w:jc w:val="left"/>
            </w:pPr>
            <w:r w:rsidRPr="00CC28D3">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60CB07B3"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Pozície,</w:t>
            </w:r>
            <w:r w:rsidR="00CC28D3">
              <w:rPr>
                <w:rStyle w:val="InstructionsTabelleberschrift"/>
                <w:rFonts w:ascii="Times New Roman" w:hAnsi="Times New Roman"/>
                <w:sz w:val="24"/>
              </w:rPr>
              <w:t xml:space="preserve"> s </w:t>
            </w:r>
            <w:r w:rsidRPr="00CC28D3">
              <w:rPr>
                <w:rStyle w:val="InstructionsTabelleberschrift"/>
                <w:rFonts w:ascii="Times New Roman" w:hAnsi="Times New Roman"/>
                <w:sz w:val="24"/>
              </w:rPr>
              <w:t>ktorými sa zaobchádza podľa štandardizovaného prístupu ku kapitálovým požiadavkám</w:t>
            </w:r>
          </w:p>
          <w:p w14:paraId="61B8B327" w14:textId="47813EF9" w:rsidR="00CC28D3" w:rsidRDefault="00EF74C7" w:rsidP="00822842">
            <w:pPr>
              <w:spacing w:before="60"/>
              <w:rPr>
                <w:rFonts w:ascii="Times New Roman" w:hAnsi="Times New Roman"/>
                <w:sz w:val="24"/>
              </w:rPr>
            </w:pPr>
            <w:r w:rsidRPr="00CC28D3">
              <w:rPr>
                <w:rFonts w:ascii="Times New Roman" w:hAnsi="Times New Roman"/>
                <w:sz w:val="24"/>
              </w:rPr>
              <w:t>Hodnoty rizikovo vážených expozícií pre expozície voči CCR,</w:t>
            </w:r>
            <w:r w:rsidR="00CC28D3">
              <w:rPr>
                <w:rFonts w:ascii="Times New Roman" w:hAnsi="Times New Roman"/>
                <w:sz w:val="24"/>
              </w:rPr>
              <w:t xml:space="preserve"> s </w:t>
            </w:r>
            <w:r w:rsidRPr="00CC28D3">
              <w:rPr>
                <w:rFonts w:ascii="Times New Roman" w:hAnsi="Times New Roman"/>
                <w:sz w:val="24"/>
              </w:rPr>
              <w:t>ktorými sa zaobchádza podľa štandardizovaného prístupu pre kreditné riziko</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2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w:t>
            </w:r>
          </w:p>
          <w:p w14:paraId="21C6ADFA" w14:textId="636CD874" w:rsidR="00EF74C7" w:rsidRPr="00CC28D3" w:rsidRDefault="00EF74C7" w:rsidP="00822842">
            <w:pPr>
              <w:rPr>
                <w:rFonts w:ascii="Times New Roman" w:hAnsi="Times New Roman"/>
                <w:sz w:val="24"/>
              </w:rPr>
            </w:pPr>
            <w:r w:rsidRPr="00CC28D3">
              <w:rPr>
                <w:rFonts w:ascii="Times New Roman" w:hAnsi="Times New Roman"/>
                <w:sz w:val="24"/>
              </w:rPr>
              <w:t>Táto hodnota zodpovedá hodnote, ktorá sa zahŕňa do stĺpca 0220 vzoru C 07.00 pre pozície CCR.</w:t>
            </w:r>
          </w:p>
        </w:tc>
      </w:tr>
      <w:tr w:rsidR="00EF74C7" w:rsidRPr="00CC28D3"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CC28D3" w:rsidRDefault="00EF74C7" w:rsidP="00822842">
            <w:pPr>
              <w:pStyle w:val="Applicationdirecte"/>
              <w:spacing w:before="0"/>
              <w:jc w:val="left"/>
            </w:pPr>
            <w:r w:rsidRPr="00CC28D3">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0C84A53C"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Pozície,</w:t>
            </w:r>
            <w:r w:rsidR="00CC28D3">
              <w:rPr>
                <w:rStyle w:val="InstructionsTabelleberschrift"/>
                <w:rFonts w:ascii="Times New Roman" w:hAnsi="Times New Roman"/>
                <w:sz w:val="24"/>
              </w:rPr>
              <w:t xml:space="preserve"> s </w:t>
            </w:r>
            <w:r w:rsidRPr="00CC28D3">
              <w:rPr>
                <w:rStyle w:val="InstructionsTabelleberschrift"/>
                <w:rFonts w:ascii="Times New Roman" w:hAnsi="Times New Roman"/>
                <w:sz w:val="24"/>
              </w:rPr>
              <w:t>ktorými sa zaobchádza podľa prístupu CR IRB</w:t>
            </w:r>
          </w:p>
          <w:p w14:paraId="51FF06D9" w14:textId="41CCCE43" w:rsidR="00EF74C7" w:rsidRPr="00CC28D3" w:rsidRDefault="00EF74C7" w:rsidP="00822842">
            <w:pPr>
              <w:pStyle w:val="TableMainHeading"/>
              <w:spacing w:before="60"/>
              <w:jc w:val="both"/>
              <w:rPr>
                <w:rFonts w:ascii="Times New Roman" w:hAnsi="Times New Roman"/>
                <w:sz w:val="24"/>
              </w:rPr>
            </w:pPr>
            <w:r w:rsidRPr="00CC28D3">
              <w:rPr>
                <w:rFonts w:ascii="Times New Roman" w:hAnsi="Times New Roman"/>
                <w:sz w:val="24"/>
              </w:rPr>
              <w:t>Hodnoty rizikovo vážených expozícií pre expozície voči CCR,</w:t>
            </w:r>
            <w:r w:rsidR="00CC28D3">
              <w:rPr>
                <w:rFonts w:ascii="Times New Roman" w:hAnsi="Times New Roman"/>
                <w:sz w:val="24"/>
              </w:rPr>
              <w:t xml:space="preserve"> s </w:t>
            </w:r>
            <w:r w:rsidRPr="00CC28D3">
              <w:rPr>
                <w:rFonts w:ascii="Times New Roman" w:hAnsi="Times New Roman"/>
                <w:sz w:val="24"/>
              </w:rPr>
              <w:t>ktorými sa zaobchádza podľa prístupu IRB pre kreditné riziko</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3 nariadenia (EÚ) </w:t>
            </w:r>
            <w:r w:rsidR="00CC28D3">
              <w:rPr>
                <w:rFonts w:ascii="Times New Roman" w:hAnsi="Times New Roman"/>
                <w:sz w:val="24"/>
              </w:rPr>
              <w:t>č. </w:t>
            </w:r>
            <w:r w:rsidRPr="00CC28D3">
              <w:rPr>
                <w:rFonts w:ascii="Times New Roman" w:hAnsi="Times New Roman"/>
                <w:sz w:val="24"/>
              </w:rPr>
              <w:t>575/2013.</w:t>
            </w:r>
          </w:p>
          <w:p w14:paraId="3FB6A074" w14:textId="77777777" w:rsidR="00EF74C7" w:rsidRPr="00CC28D3" w:rsidRDefault="00EF74C7" w:rsidP="00822842">
            <w:pPr>
              <w:rPr>
                <w:rFonts w:ascii="Times New Roman" w:hAnsi="Times New Roman"/>
                <w:sz w:val="24"/>
              </w:rPr>
            </w:pPr>
            <w:r w:rsidRPr="00CC28D3">
              <w:rPr>
                <w:rFonts w:ascii="Times New Roman" w:hAnsi="Times New Roman"/>
                <w:sz w:val="24"/>
              </w:rPr>
              <w:lastRenderedPageBreak/>
              <w:t>Táto hodnota zodpovedá hodnote, ktorá sa zahŕňa do stĺpca 0260 vzoru C 08.01 pre pozície CCR.</w:t>
            </w:r>
          </w:p>
        </w:tc>
      </w:tr>
      <w:tr w:rsidR="00EF74C7" w:rsidRPr="00CC28D3"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CC28D3" w:rsidRDefault="00EF74C7" w:rsidP="00822842">
            <w:pPr>
              <w:pStyle w:val="Applicationdirecte"/>
              <w:spacing w:before="0"/>
              <w:jc w:val="left"/>
            </w:pPr>
            <w:r w:rsidRPr="00CC28D3">
              <w:lastRenderedPageBreak/>
              <w:t>0230 – 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SPODNÁ HRANICA PRE VÝSTUPNÉ HODNOTY</w:t>
            </w:r>
          </w:p>
          <w:p w14:paraId="78547488" w14:textId="675CD12D"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Fonts w:ascii="Times New Roman" w:hAnsi="Times New Roman"/>
                <w:sz w:val="24"/>
              </w:rPr>
              <w:t xml:space="preserve">V prípade inštitúcií, na ktoré sa vzťahuje spodná hranica pre výstupné hodnoty podľa článku 92 ods. 3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CC28D3" w:rsidRDefault="00EF74C7" w:rsidP="00822842">
            <w:pPr>
              <w:pStyle w:val="Applicationdirecte"/>
              <w:spacing w:before="0"/>
              <w:jc w:val="left"/>
            </w:pPr>
            <w:r w:rsidRPr="00CC28D3">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Pr="00CC28D3" w:rsidRDefault="00EF74C7" w:rsidP="00822842">
            <w:pPr>
              <w:rPr>
                <w:rStyle w:val="InstructionsTabelleberschrift"/>
                <w:rFonts w:ascii="Times New Roman" w:eastAsiaTheme="minorEastAsia" w:hAnsi="Times New Roman"/>
                <w:sz w:val="24"/>
              </w:rPr>
            </w:pPr>
            <w:r w:rsidRPr="00CC28D3">
              <w:rPr>
                <w:rStyle w:val="InstructionsTabelleberschrift"/>
                <w:rFonts w:ascii="Times New Roman" w:hAnsi="Times New Roman"/>
                <w:sz w:val="24"/>
              </w:rPr>
              <w:t>HODNOTA EXPOZÍCIE PRE VÝPOČET S-TREA</w:t>
            </w:r>
          </w:p>
          <w:p w14:paraId="076EA294" w14:textId="789E80B5"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Hodnota expozície</w:t>
            </w:r>
            <w:r w:rsidRPr="00CC28D3">
              <w:rPr>
                <w:rFonts w:ascii="Times New Roman" w:hAnsi="Times New Roman"/>
                <w:sz w:val="24"/>
              </w:rPr>
              <w:t xml:space="preserve"> expozícií voči CCR obsiahnutá vo výpočte štandardizovanej celkovej hodnoty rizikovej expozície (S-TREA) vypočítaná</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článkom 92 ods. 5</w:t>
            </w:r>
            <w:r w:rsidRPr="00CC28D3">
              <w:rPr>
                <w:rStyle w:val="InstructionsTabelleberschrift"/>
                <w:rFonts w:ascii="Times New Roman" w:hAnsi="Times New Roman"/>
                <w:sz w:val="24"/>
              </w:rPr>
              <w:t xml:space="preserve"> </w:t>
            </w:r>
            <w:r w:rsidRPr="00CC28D3">
              <w:rPr>
                <w:rFonts w:ascii="Times New Roman" w:hAnsi="Times New Roman"/>
                <w:sz w:val="24"/>
              </w:rPr>
              <w:t xml:space="preserve">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CC28D3" w:rsidRDefault="00EF74C7" w:rsidP="00822842">
            <w:pPr>
              <w:pStyle w:val="Applicationdirecte"/>
              <w:spacing w:before="0"/>
              <w:jc w:val="left"/>
            </w:pPr>
            <w:r w:rsidRPr="00CC28D3">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S-TREA</w:t>
            </w:r>
          </w:p>
          <w:p w14:paraId="3E780FC2" w14:textId="25995408"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Fonts w:ascii="Times New Roman" w:hAnsi="Times New Roman"/>
                <w:sz w:val="24"/>
              </w:rPr>
              <w:t>Štandardizovaná celková hodnota rizikovej expozície (S-TREA) expozícií voči CCR vypočítaná</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92 ods. 5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CC28D3" w:rsidRDefault="00EF74C7" w:rsidP="00822842">
            <w:pPr>
              <w:pStyle w:val="Applicationdirecte"/>
              <w:spacing w:before="0"/>
              <w:jc w:val="left"/>
            </w:pPr>
            <w:r w:rsidRPr="00CC28D3">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5A2FEF75"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DOPLŇUJÚCE POLOŽKY: RWEA VO VZŤAKU</w:t>
            </w:r>
            <w:r w:rsidR="00CC28D3">
              <w:rPr>
                <w:rStyle w:val="InstructionsTabelleberschrift"/>
                <w:rFonts w:ascii="Times New Roman" w:hAnsi="Times New Roman"/>
                <w:sz w:val="24"/>
              </w:rPr>
              <w:t xml:space="preserve"> K </w:t>
            </w:r>
            <w:r w:rsidRPr="00CC28D3">
              <w:rPr>
                <w:rStyle w:val="InstructionsTabelleberschrift"/>
                <w:rFonts w:ascii="Times New Roman" w:hAnsi="Times New Roman"/>
                <w:sz w:val="24"/>
              </w:rPr>
              <w:t>VPLYVU UPLATŇOVANIA ČLÁNKU 465 ODS. 4 NARIADENIA (EÚ) Č. 575/2013</w:t>
            </w:r>
          </w:p>
          <w:p w14:paraId="5E592907" w14:textId="63F8002B"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Fonts w:ascii="Times New Roman" w:hAnsi="Times New Roman"/>
                <w:sz w:val="24"/>
              </w:rPr>
              <w:t xml:space="preserve">Článok 465 ods. 4 nariadenia (EÚ) </w:t>
            </w:r>
            <w:r w:rsidR="00CC28D3">
              <w:rPr>
                <w:rFonts w:ascii="Times New Roman" w:hAnsi="Times New Roman"/>
                <w:sz w:val="24"/>
              </w:rPr>
              <w:t>č. </w:t>
            </w:r>
            <w:r w:rsidRPr="00CC28D3">
              <w:rPr>
                <w:rFonts w:ascii="Times New Roman" w:hAnsi="Times New Roman"/>
                <w:sz w:val="24"/>
              </w:rPr>
              <w:t>575/2013 Rozdiel medzi hodnotou RWEA vypočítanou bez uplatnenia prechodných ustanovení</w:t>
            </w:r>
            <w:r w:rsidR="00CC28D3">
              <w:rPr>
                <w:rFonts w:ascii="Times New Roman" w:hAnsi="Times New Roman"/>
                <w:sz w:val="24"/>
              </w:rPr>
              <w:t xml:space="preserve"> a </w:t>
            </w:r>
            <w:r w:rsidRPr="00CC28D3">
              <w:rPr>
                <w:rFonts w:ascii="Times New Roman" w:hAnsi="Times New Roman"/>
                <w:sz w:val="24"/>
              </w:rPr>
              <w:t>hodnotou RWEA vypočítanou pri uplatnení prechodných ustanovení sa musí vykazovať.</w:t>
            </w:r>
          </w:p>
        </w:tc>
      </w:tr>
      <w:tr w:rsidR="00EF74C7" w:rsidRPr="00CC28D3"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CC28D3" w:rsidRDefault="00EF74C7" w:rsidP="00822842">
            <w:pPr>
              <w:pStyle w:val="TableMainHeading"/>
              <w:spacing w:before="60"/>
              <w:rPr>
                <w:rFonts w:ascii="Times New Roman" w:hAnsi="Times New Roman"/>
                <w:i/>
                <w:sz w:val="24"/>
                <w:szCs w:val="24"/>
              </w:rPr>
            </w:pPr>
          </w:p>
        </w:tc>
      </w:tr>
      <w:tr w:rsidR="00EF74C7" w:rsidRPr="00CC28D3"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CC28D3" w:rsidRDefault="00EF74C7" w:rsidP="00822842">
            <w:pPr>
              <w:pStyle w:val="TableMainHeading"/>
              <w:spacing w:before="60"/>
              <w:rPr>
                <w:rFonts w:ascii="Times New Roman" w:hAnsi="Times New Roman"/>
                <w:b/>
                <w:sz w:val="24"/>
                <w:szCs w:val="24"/>
              </w:rPr>
            </w:pPr>
            <w:r w:rsidRPr="00CC28D3">
              <w:rPr>
                <w:rFonts w:ascii="Times New Roman" w:hAnsi="Times New Roman"/>
                <w:b/>
                <w:sz w:val="24"/>
              </w:rPr>
              <w:t xml:space="preserve">Riadok </w:t>
            </w:r>
          </w:p>
        </w:tc>
      </w:tr>
      <w:tr w:rsidR="00EF74C7" w:rsidRPr="00CC28D3" w14:paraId="7053F9E4" w14:textId="77777777" w:rsidTr="00822842">
        <w:trPr>
          <w:trHeight w:val="680"/>
        </w:trPr>
        <w:tc>
          <w:tcPr>
            <w:tcW w:w="1384" w:type="dxa"/>
          </w:tcPr>
          <w:p w14:paraId="28CCF211" w14:textId="77777777" w:rsidR="00EF74C7" w:rsidRPr="00CC28D3" w:rsidRDefault="00EF74C7" w:rsidP="00822842">
            <w:pPr>
              <w:pStyle w:val="Applicationdirecte"/>
              <w:spacing w:before="0" w:after="0"/>
            </w:pPr>
            <w:r w:rsidRPr="00CC28D3">
              <w:t>0010</w:t>
            </w:r>
          </w:p>
        </w:tc>
        <w:tc>
          <w:tcPr>
            <w:tcW w:w="7655" w:type="dxa"/>
          </w:tcPr>
          <w:p w14:paraId="56108DBA" w14:textId="77777777" w:rsidR="00CC28D3" w:rsidRDefault="00EF74C7" w:rsidP="00822842">
            <w:pPr>
              <w:pStyle w:val="TableMainHeading"/>
              <w:rPr>
                <w:rStyle w:val="InstructionsTabelleberschrift"/>
                <w:rFonts w:ascii="Times New Roman" w:hAnsi="Times New Roman"/>
                <w:sz w:val="24"/>
              </w:rPr>
            </w:pPr>
            <w:r w:rsidRPr="00CC28D3">
              <w:rPr>
                <w:rStyle w:val="InstructionsTabelleberschrift"/>
                <w:rFonts w:ascii="Times New Roman" w:hAnsi="Times New Roman"/>
                <w:sz w:val="24"/>
              </w:rPr>
              <w:t>METÓDA PÔVODNEJ EXPOZÍCIE (PRE DERIVÁTY)</w:t>
            </w:r>
          </w:p>
          <w:p w14:paraId="19F53DE3" w14:textId="44D5AF7C" w:rsidR="00EF74C7" w:rsidRPr="00CC28D3" w:rsidRDefault="00EF74C7" w:rsidP="00822842">
            <w:pPr>
              <w:pStyle w:val="TableMainHeading"/>
              <w:spacing w:before="60"/>
              <w:rPr>
                <w:rFonts w:ascii="Times New Roman" w:hAnsi="Times New Roman"/>
                <w:i/>
                <w:sz w:val="24"/>
                <w:szCs w:val="24"/>
              </w:rPr>
            </w:pPr>
            <w:r w:rsidRPr="00CC28D3">
              <w:rPr>
                <w:rFonts w:ascii="Times New Roman" w:hAnsi="Times New Roman"/>
                <w:sz w:val="24"/>
              </w:rPr>
              <w:t>Deriváty</w:t>
            </w:r>
            <w:r w:rsidR="00CC28D3">
              <w:rPr>
                <w:rFonts w:ascii="Times New Roman" w:hAnsi="Times New Roman"/>
                <w:sz w:val="24"/>
              </w:rPr>
              <w:t xml:space="preserve"> a </w:t>
            </w:r>
            <w:r w:rsidRPr="00CC28D3">
              <w:rPr>
                <w:rFonts w:ascii="Times New Roman" w:hAnsi="Times New Roman"/>
                <w:sz w:val="24"/>
              </w:rPr>
              <w:t>transakcie</w:t>
            </w:r>
            <w:r w:rsidR="00CC28D3">
              <w:rPr>
                <w:rFonts w:ascii="Times New Roman" w:hAnsi="Times New Roman"/>
                <w:sz w:val="24"/>
              </w:rPr>
              <w:t xml:space="preserve"> s </w:t>
            </w:r>
            <w:r w:rsidRPr="00CC28D3">
              <w:rPr>
                <w:rFonts w:ascii="Times New Roman" w:hAnsi="Times New Roman"/>
                <w:sz w:val="24"/>
              </w:rPr>
              <w:t>dlhou dobou vyrovnania, pre ktoré inštitúcia vypočítava hodnotu expozície</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6 oddielom 5 nariadenia (EÚ) </w:t>
            </w:r>
            <w:r w:rsidR="00CC28D3">
              <w:rPr>
                <w:rFonts w:ascii="Times New Roman" w:hAnsi="Times New Roman"/>
                <w:sz w:val="24"/>
              </w:rPr>
              <w:t>č. </w:t>
            </w:r>
            <w:r w:rsidRPr="00CC28D3">
              <w:rPr>
                <w:rFonts w:ascii="Times New Roman" w:hAnsi="Times New Roman"/>
                <w:sz w:val="24"/>
              </w:rPr>
              <w:t>575/2013. Túto zjednodušenú metódu na výpočet hodnoty expozície môžu používať len inštitúcie, ktoré spĺňajú podmienky stanovené</w:t>
            </w:r>
            <w:r w:rsidR="00CC28D3">
              <w:rPr>
                <w:rFonts w:ascii="Times New Roman" w:hAnsi="Times New Roman"/>
                <w:sz w:val="24"/>
              </w:rPr>
              <w:t xml:space="preserve"> v </w:t>
            </w:r>
            <w:r w:rsidRPr="00CC28D3">
              <w:rPr>
                <w:rFonts w:ascii="Times New Roman" w:hAnsi="Times New Roman"/>
                <w:sz w:val="24"/>
              </w:rPr>
              <w:t xml:space="preserve">článku 273a ods. 2 alebo 4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CC28D3" w:rsidRDefault="00EF74C7" w:rsidP="00822842">
            <w:pPr>
              <w:pStyle w:val="Applicationdirecte"/>
              <w:spacing w:before="0" w:after="0"/>
            </w:pPr>
            <w:r w:rsidRPr="00CC28D3">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CC28D3" w:rsidRDefault="00EF74C7" w:rsidP="00822842">
            <w:pPr>
              <w:pStyle w:val="TableMainHeading"/>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ZJEDNODUŠENÝ ŠTANDARDIZOVANÝ PRÍSTUP PRE KREDITNÉ RIZIKO PROTISTRANY (ZJEDNODUŠENÝ PRÍSTUP SA-CCR PRE DERIVÁTY)</w:t>
            </w:r>
          </w:p>
          <w:p w14:paraId="0C771BB4" w14:textId="59A2A1F0"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Deriváty</w:t>
            </w:r>
            <w:r w:rsidR="00CC28D3">
              <w:rPr>
                <w:rFonts w:ascii="Times New Roman" w:hAnsi="Times New Roman"/>
                <w:sz w:val="24"/>
              </w:rPr>
              <w:t xml:space="preserve"> a </w:t>
            </w:r>
            <w:r w:rsidRPr="00CC28D3">
              <w:rPr>
                <w:rFonts w:ascii="Times New Roman" w:hAnsi="Times New Roman"/>
                <w:sz w:val="24"/>
              </w:rPr>
              <w:t>transakcie</w:t>
            </w:r>
            <w:r w:rsidR="00CC28D3">
              <w:rPr>
                <w:rFonts w:ascii="Times New Roman" w:hAnsi="Times New Roman"/>
                <w:sz w:val="24"/>
              </w:rPr>
              <w:t xml:space="preserve"> s </w:t>
            </w:r>
            <w:r w:rsidRPr="00CC28D3">
              <w:rPr>
                <w:rFonts w:ascii="Times New Roman" w:hAnsi="Times New Roman"/>
                <w:sz w:val="24"/>
              </w:rPr>
              <w:t>dlhou dobou vyrovnania, pre ktoré inštitúcia vypočítava hodnotu expozície</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6 oddielom 4 nariadenia (EÚ) </w:t>
            </w:r>
            <w:r w:rsidR="00CC28D3">
              <w:rPr>
                <w:rFonts w:ascii="Times New Roman" w:hAnsi="Times New Roman"/>
                <w:sz w:val="24"/>
              </w:rPr>
              <w:t>č. </w:t>
            </w:r>
            <w:r w:rsidRPr="00CC28D3">
              <w:rPr>
                <w:rFonts w:ascii="Times New Roman" w:hAnsi="Times New Roman"/>
                <w:sz w:val="24"/>
              </w:rPr>
              <w:t>575/2013. Zjednodušený štandardizovaný prístup na výpočet hodnoty expozície môžu používať len inštitúcie, ktoré spĺňajú podmienky stanovené</w:t>
            </w:r>
            <w:r w:rsidR="00CC28D3">
              <w:rPr>
                <w:rFonts w:ascii="Times New Roman" w:hAnsi="Times New Roman"/>
                <w:sz w:val="24"/>
              </w:rPr>
              <w:t xml:space="preserve"> v </w:t>
            </w:r>
            <w:r w:rsidRPr="00CC28D3">
              <w:rPr>
                <w:rFonts w:ascii="Times New Roman" w:hAnsi="Times New Roman"/>
                <w:sz w:val="24"/>
              </w:rPr>
              <w:t xml:space="preserve">článku 273a ods. 1 alebo 4 nariadenia (EÚ) </w:t>
            </w:r>
            <w:r w:rsidR="00CC28D3">
              <w:rPr>
                <w:rFonts w:ascii="Times New Roman" w:hAnsi="Times New Roman"/>
                <w:sz w:val="24"/>
              </w:rPr>
              <w:t>č. </w:t>
            </w:r>
            <w:r w:rsidRPr="00CC28D3">
              <w:rPr>
                <w:rFonts w:ascii="Times New Roman" w:hAnsi="Times New Roman"/>
                <w:sz w:val="24"/>
              </w:rPr>
              <w:t xml:space="preserve">575/2013. </w:t>
            </w:r>
          </w:p>
        </w:tc>
      </w:tr>
      <w:tr w:rsidR="00EF74C7" w:rsidRPr="00CC28D3"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CC28D3" w:rsidRDefault="00EF74C7" w:rsidP="00822842">
            <w:pPr>
              <w:pStyle w:val="Applicationdirecte"/>
              <w:spacing w:before="0" w:after="0"/>
            </w:pPr>
            <w:r w:rsidRPr="00CC28D3">
              <w:lastRenderedPageBreak/>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CC28D3" w:rsidRDefault="00EF74C7" w:rsidP="00822842">
            <w:pPr>
              <w:pStyle w:val="TableMainHeading"/>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ŠTANDARDIZOVANÝ PRÍSTUP PRE KREDITNÉ RIZIKO PROTISTRANY (PRÍSTUP SA-CCR PRE DERIVÁTY)</w:t>
            </w:r>
          </w:p>
          <w:p w14:paraId="771ED2E1" w14:textId="4CAAA536" w:rsidR="00EF74C7" w:rsidRPr="00CC28D3" w:rsidRDefault="00EF74C7" w:rsidP="00822842">
            <w:pPr>
              <w:pStyle w:val="TableMainHeading"/>
              <w:spacing w:before="60"/>
              <w:rPr>
                <w:rFonts w:ascii="Times New Roman" w:hAnsi="Times New Roman"/>
                <w:sz w:val="24"/>
                <w:szCs w:val="24"/>
              </w:rPr>
            </w:pPr>
            <w:r w:rsidRPr="00CC28D3">
              <w:rPr>
                <w:rFonts w:ascii="Times New Roman" w:hAnsi="Times New Roman"/>
                <w:sz w:val="24"/>
              </w:rPr>
              <w:t>Deriváty</w:t>
            </w:r>
            <w:r w:rsidR="00CC28D3">
              <w:rPr>
                <w:rFonts w:ascii="Times New Roman" w:hAnsi="Times New Roman"/>
                <w:sz w:val="24"/>
              </w:rPr>
              <w:t xml:space="preserve"> a </w:t>
            </w:r>
            <w:r w:rsidRPr="00CC28D3">
              <w:rPr>
                <w:rFonts w:ascii="Times New Roman" w:hAnsi="Times New Roman"/>
                <w:sz w:val="24"/>
              </w:rPr>
              <w:t>transakcie</w:t>
            </w:r>
            <w:r w:rsidR="00CC28D3">
              <w:rPr>
                <w:rFonts w:ascii="Times New Roman" w:hAnsi="Times New Roman"/>
                <w:sz w:val="24"/>
              </w:rPr>
              <w:t xml:space="preserve"> s </w:t>
            </w:r>
            <w:r w:rsidRPr="00CC28D3">
              <w:rPr>
                <w:rFonts w:ascii="Times New Roman" w:hAnsi="Times New Roman"/>
                <w:sz w:val="24"/>
              </w:rPr>
              <w:t>dlhou dobou vyrovnania, pre ktoré inštitúcia vypočítava hodnotu expozície</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6 oddielom 3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CC28D3" w:rsidRDefault="00EF74C7" w:rsidP="00822842">
            <w:pPr>
              <w:pStyle w:val="Applicationdirecte"/>
              <w:spacing w:before="0" w:after="0"/>
            </w:pPr>
            <w:r w:rsidRPr="00CC28D3">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CC28D3" w:rsidRDefault="00EF74C7" w:rsidP="00822842">
            <w:pPr>
              <w:pStyle w:val="TableMainHeading"/>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METÓDA INTERNÝCH MODELOV (PRE DERIVÁTY A SFT)</w:t>
            </w:r>
          </w:p>
          <w:p w14:paraId="19499FEB" w14:textId="59549142" w:rsidR="00EF74C7" w:rsidRPr="00CC28D3" w:rsidRDefault="00EF74C7" w:rsidP="00822842">
            <w:pPr>
              <w:pStyle w:val="TableMainHeading"/>
              <w:spacing w:before="60"/>
              <w:rPr>
                <w:rFonts w:ascii="Times New Roman" w:hAnsi="Times New Roman"/>
                <w:sz w:val="24"/>
                <w:szCs w:val="24"/>
              </w:rPr>
            </w:pPr>
            <w:r w:rsidRPr="00CC28D3">
              <w:rPr>
                <w:rFonts w:ascii="Times New Roman" w:hAnsi="Times New Roman"/>
                <w:sz w:val="24"/>
              </w:rPr>
              <w:t>Deriváty, transakcie</w:t>
            </w:r>
            <w:r w:rsidR="00CC28D3">
              <w:rPr>
                <w:rFonts w:ascii="Times New Roman" w:hAnsi="Times New Roman"/>
                <w:sz w:val="24"/>
              </w:rPr>
              <w:t xml:space="preserve"> s </w:t>
            </w:r>
            <w:r w:rsidRPr="00CC28D3">
              <w:rPr>
                <w:rFonts w:ascii="Times New Roman" w:hAnsi="Times New Roman"/>
                <w:sz w:val="24"/>
              </w:rPr>
              <w:t>dlhou dobou vyrovnania</w:t>
            </w:r>
            <w:r w:rsidR="00CC28D3">
              <w:rPr>
                <w:rFonts w:ascii="Times New Roman" w:hAnsi="Times New Roman"/>
                <w:sz w:val="24"/>
              </w:rPr>
              <w:t xml:space="preserve"> a </w:t>
            </w:r>
            <w:r w:rsidRPr="00CC28D3">
              <w:rPr>
                <w:rFonts w:ascii="Times New Roman" w:hAnsi="Times New Roman"/>
                <w:sz w:val="24"/>
              </w:rPr>
              <w:t>SFT,</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inštitúcii povolilo vypočítavať hodnotu expozície pomocou metódy interných modelov (IMM)</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6 oddielom 6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CC28D3" w:rsidRDefault="00EF74C7" w:rsidP="00822842">
            <w:pPr>
              <w:pStyle w:val="Applicationdirecte"/>
              <w:spacing w:before="0" w:after="0"/>
            </w:pPr>
            <w:r w:rsidRPr="00CC28D3">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Súbory vzájomného započítavania transakcií financovania prostredníctvom cenných papierov</w:t>
            </w:r>
          </w:p>
          <w:p w14:paraId="08069DA3" w14:textId="13D8A6A3"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Súbory vzájomného započítavania obsahujúce len SFT</w:t>
            </w:r>
            <w:r w:rsidR="00CC28D3">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4 ods. 1 bode 139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inštitúcii povolilo určovať hodnotu expozície pomocou IMM.</w:t>
            </w:r>
          </w:p>
          <w:p w14:paraId="00DA27AC" w14:textId="17FBD8D9"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SFT, ktoré sú zahrnuté</w:t>
            </w:r>
            <w:r w:rsidR="00CC28D3">
              <w:rPr>
                <w:rFonts w:ascii="Times New Roman" w:hAnsi="Times New Roman"/>
                <w:sz w:val="24"/>
              </w:rPr>
              <w:t xml:space="preserve"> v </w:t>
            </w:r>
            <w:r w:rsidRPr="00CC28D3">
              <w:rPr>
                <w:rFonts w:ascii="Times New Roman" w:hAnsi="Times New Roman"/>
                <w:sz w:val="24"/>
              </w:rPr>
              <w:t>súbore krížového vzájomného započítavania produktov,</w:t>
            </w:r>
            <w:r w:rsidR="00CC28D3">
              <w:rPr>
                <w:rFonts w:ascii="Times New Roman" w:hAnsi="Times New Roman"/>
                <w:sz w:val="24"/>
              </w:rPr>
              <w:t xml:space="preserve"> a </w:t>
            </w:r>
            <w:r w:rsidRPr="00CC28D3">
              <w:rPr>
                <w:rFonts w:ascii="Times New Roman" w:hAnsi="Times New Roman"/>
                <w:sz w:val="24"/>
              </w:rPr>
              <w:t>preto sa vykazujú</w:t>
            </w:r>
            <w:r w:rsidR="00CC28D3">
              <w:rPr>
                <w:rFonts w:ascii="Times New Roman" w:hAnsi="Times New Roman"/>
                <w:sz w:val="24"/>
              </w:rPr>
              <w:t xml:space="preserve"> v </w:t>
            </w:r>
            <w:r w:rsidRPr="00CC28D3">
              <w:rPr>
                <w:rFonts w:ascii="Times New Roman" w:hAnsi="Times New Roman"/>
                <w:sz w:val="24"/>
              </w:rPr>
              <w:t>riadku 0070, sa nevykazujú</w:t>
            </w:r>
            <w:r w:rsidR="00CC28D3">
              <w:rPr>
                <w:rFonts w:ascii="Times New Roman" w:hAnsi="Times New Roman"/>
                <w:sz w:val="24"/>
              </w:rPr>
              <w:t xml:space="preserve"> v </w:t>
            </w:r>
            <w:r w:rsidRPr="00CC28D3">
              <w:rPr>
                <w:rFonts w:ascii="Times New Roman" w:hAnsi="Times New Roman"/>
                <w:sz w:val="24"/>
              </w:rPr>
              <w:t>tomto riadku.</w:t>
            </w:r>
          </w:p>
        </w:tc>
      </w:tr>
      <w:tr w:rsidR="00EF74C7" w:rsidRPr="00CC28D3"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CC28D3" w:rsidRDefault="00EF74C7" w:rsidP="00822842">
            <w:pPr>
              <w:pStyle w:val="Applicationdirecte"/>
              <w:spacing w:before="0" w:after="0"/>
            </w:pPr>
            <w:r w:rsidRPr="00CC28D3">
              <w:t>0060</w:t>
            </w:r>
          </w:p>
        </w:tc>
        <w:tc>
          <w:tcPr>
            <w:tcW w:w="7655" w:type="dxa"/>
            <w:tcBorders>
              <w:top w:val="single" w:sz="4" w:space="0" w:color="auto"/>
              <w:left w:val="single" w:sz="4" w:space="0" w:color="auto"/>
              <w:bottom w:val="single" w:sz="4" w:space="0" w:color="auto"/>
              <w:right w:val="single" w:sz="4" w:space="0" w:color="auto"/>
            </w:tcBorders>
          </w:tcPr>
          <w:p w14:paraId="1AD8EA0D" w14:textId="1F3533E7"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Súbory vzájomného započítavania derivátov</w:t>
            </w:r>
            <w:r w:rsidR="00CC28D3">
              <w:rPr>
                <w:rStyle w:val="InstructionsTabelleberschrift"/>
                <w:rFonts w:ascii="Times New Roman" w:hAnsi="Times New Roman"/>
                <w:sz w:val="24"/>
              </w:rPr>
              <w:t xml:space="preserve"> a </w:t>
            </w:r>
            <w:r w:rsidRPr="00CC28D3">
              <w:rPr>
                <w:rStyle w:val="InstructionsTabelleberschrift"/>
                <w:rFonts w:ascii="Times New Roman" w:hAnsi="Times New Roman"/>
                <w:sz w:val="24"/>
              </w:rPr>
              <w:t>transakcií</w:t>
            </w:r>
            <w:r w:rsidR="00CC28D3">
              <w:rPr>
                <w:rStyle w:val="InstructionsTabelleberschrift"/>
                <w:rFonts w:ascii="Times New Roman" w:hAnsi="Times New Roman"/>
                <w:sz w:val="24"/>
              </w:rPr>
              <w:t xml:space="preserve"> s </w:t>
            </w:r>
            <w:r w:rsidRPr="00CC28D3">
              <w:rPr>
                <w:rStyle w:val="InstructionsTabelleberschrift"/>
                <w:rFonts w:ascii="Times New Roman" w:hAnsi="Times New Roman"/>
                <w:sz w:val="24"/>
              </w:rPr>
              <w:t>dlhou dobou vyrovnania</w:t>
            </w:r>
          </w:p>
          <w:p w14:paraId="0E97A475" w14:textId="3ABD3D3E"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Súbory vzájomného započítavania obsahujúce len derivátové nástroje uvedené</w:t>
            </w:r>
            <w:r w:rsidR="00CC28D3">
              <w:rPr>
                <w:rFonts w:ascii="Times New Roman" w:hAnsi="Times New Roman"/>
                <w:sz w:val="24"/>
              </w:rPr>
              <w:t xml:space="preserve"> v </w:t>
            </w:r>
            <w:r w:rsidRPr="00CC28D3">
              <w:rPr>
                <w:rFonts w:ascii="Times New Roman" w:hAnsi="Times New Roman"/>
                <w:sz w:val="24"/>
              </w:rPr>
              <w:t>prílohe II</w:t>
            </w:r>
            <w:r w:rsidR="00CC28D3">
              <w:rPr>
                <w:rFonts w:ascii="Times New Roman" w:hAnsi="Times New Roman"/>
                <w:sz w:val="24"/>
              </w:rPr>
              <w:t xml:space="preserve"> k </w:t>
            </w:r>
            <w:r w:rsidRPr="00CC28D3">
              <w:rPr>
                <w:rFonts w:ascii="Times New Roman" w:hAnsi="Times New Roman"/>
                <w:sz w:val="24"/>
              </w:rPr>
              <w:t xml:space="preserve">nariadeniu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a </w:t>
            </w:r>
            <w:r w:rsidRPr="00CC28D3">
              <w:rPr>
                <w:rFonts w:ascii="Times New Roman" w:hAnsi="Times New Roman"/>
                <w:sz w:val="24"/>
              </w:rPr>
              <w:t>transakcie</w:t>
            </w:r>
            <w:r w:rsidR="00CC28D3">
              <w:rPr>
                <w:rFonts w:ascii="Times New Roman" w:hAnsi="Times New Roman"/>
                <w:sz w:val="24"/>
              </w:rPr>
              <w:t xml:space="preserve"> s </w:t>
            </w:r>
            <w:r w:rsidRPr="00CC28D3">
              <w:rPr>
                <w:rFonts w:ascii="Times New Roman" w:hAnsi="Times New Roman"/>
                <w:sz w:val="24"/>
              </w:rPr>
              <w:t>dlhou dobou vyrovnania</w:t>
            </w:r>
            <w:r w:rsidR="00CC28D3">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272 bode 2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inštitúcii povolilo určovať hodnotu expozície pomocou IMM.</w:t>
            </w:r>
          </w:p>
          <w:p w14:paraId="6A8CD02A" w14:textId="326D8134"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Deriváty</w:t>
            </w:r>
            <w:r w:rsidR="00CC28D3">
              <w:rPr>
                <w:rFonts w:ascii="Times New Roman" w:hAnsi="Times New Roman"/>
                <w:sz w:val="24"/>
              </w:rPr>
              <w:t xml:space="preserve"> a </w:t>
            </w:r>
            <w:r w:rsidRPr="00CC28D3">
              <w:rPr>
                <w:rFonts w:ascii="Times New Roman" w:hAnsi="Times New Roman"/>
                <w:sz w:val="24"/>
              </w:rPr>
              <w:t>transakcie</w:t>
            </w:r>
            <w:r w:rsidR="00CC28D3">
              <w:rPr>
                <w:rFonts w:ascii="Times New Roman" w:hAnsi="Times New Roman"/>
                <w:sz w:val="24"/>
              </w:rPr>
              <w:t xml:space="preserve"> s </w:t>
            </w:r>
            <w:r w:rsidRPr="00CC28D3">
              <w:rPr>
                <w:rFonts w:ascii="Times New Roman" w:hAnsi="Times New Roman"/>
                <w:sz w:val="24"/>
              </w:rPr>
              <w:t>dlhou dobou vyrovnania, ktoré sú zahrnuté</w:t>
            </w:r>
            <w:r w:rsidR="00CC28D3">
              <w:rPr>
                <w:rFonts w:ascii="Times New Roman" w:hAnsi="Times New Roman"/>
                <w:sz w:val="24"/>
              </w:rPr>
              <w:t xml:space="preserve"> v </w:t>
            </w:r>
            <w:r w:rsidRPr="00CC28D3">
              <w:rPr>
                <w:rFonts w:ascii="Times New Roman" w:hAnsi="Times New Roman"/>
                <w:sz w:val="24"/>
              </w:rPr>
              <w:t>súbore krížového vzájomného započítavania produktov,</w:t>
            </w:r>
            <w:r w:rsidR="00CC28D3">
              <w:rPr>
                <w:rFonts w:ascii="Times New Roman" w:hAnsi="Times New Roman"/>
                <w:sz w:val="24"/>
              </w:rPr>
              <w:t xml:space="preserve"> a </w:t>
            </w:r>
            <w:r w:rsidRPr="00CC28D3">
              <w:rPr>
                <w:rFonts w:ascii="Times New Roman" w:hAnsi="Times New Roman"/>
                <w:sz w:val="24"/>
              </w:rPr>
              <w:t>preto sa vykazujú</w:t>
            </w:r>
            <w:r w:rsidR="00CC28D3">
              <w:rPr>
                <w:rFonts w:ascii="Times New Roman" w:hAnsi="Times New Roman"/>
                <w:sz w:val="24"/>
              </w:rPr>
              <w:t xml:space="preserve"> v </w:t>
            </w:r>
            <w:r w:rsidRPr="00CC28D3">
              <w:rPr>
                <w:rFonts w:ascii="Times New Roman" w:hAnsi="Times New Roman"/>
                <w:sz w:val="24"/>
              </w:rPr>
              <w:t>riadku 0070, sa nevykazujú</w:t>
            </w:r>
            <w:r w:rsidR="00CC28D3">
              <w:rPr>
                <w:rFonts w:ascii="Times New Roman" w:hAnsi="Times New Roman"/>
                <w:sz w:val="24"/>
              </w:rPr>
              <w:t xml:space="preserve"> v </w:t>
            </w:r>
            <w:r w:rsidRPr="00CC28D3">
              <w:rPr>
                <w:rFonts w:ascii="Times New Roman" w:hAnsi="Times New Roman"/>
                <w:sz w:val="24"/>
              </w:rPr>
              <w:t>tomto riadku.</w:t>
            </w:r>
          </w:p>
        </w:tc>
      </w:tr>
      <w:tr w:rsidR="00EF74C7" w:rsidRPr="00CC28D3"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CC28D3" w:rsidRDefault="00EF74C7" w:rsidP="00822842">
            <w:pPr>
              <w:pStyle w:val="Applicationdirecte"/>
              <w:spacing w:before="0" w:after="0"/>
            </w:pPr>
            <w:r w:rsidRPr="00CC28D3">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CC28D3" w:rsidRDefault="00EF74C7" w:rsidP="00822842">
            <w:pPr>
              <w:pStyle w:val="TableMainHeading"/>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Zo súborov krížového vzájomného započítavania produktov</w:t>
            </w:r>
          </w:p>
          <w:p w14:paraId="118D66FD" w14:textId="11EB082B" w:rsidR="00EF74C7" w:rsidRPr="00CC28D3" w:rsidRDefault="00EF74C7" w:rsidP="00822842">
            <w:pPr>
              <w:rPr>
                <w:rFonts w:ascii="Times New Roman" w:hAnsi="Times New Roman"/>
                <w:sz w:val="24"/>
              </w:rPr>
            </w:pPr>
            <w:r w:rsidRPr="00CC28D3">
              <w:rPr>
                <w:rFonts w:ascii="Times New Roman" w:hAnsi="Times New Roman"/>
                <w:sz w:val="24"/>
              </w:rPr>
              <w:t>Článok 272 body 11</w:t>
            </w:r>
            <w:r w:rsidR="00CC28D3">
              <w:rPr>
                <w:rFonts w:ascii="Times New Roman" w:hAnsi="Times New Roman"/>
                <w:sz w:val="24"/>
              </w:rPr>
              <w:t xml:space="preserve"> a </w:t>
            </w:r>
            <w:r w:rsidRPr="00CC28D3">
              <w:rPr>
                <w:rFonts w:ascii="Times New Roman" w:hAnsi="Times New Roman"/>
                <w:sz w:val="24"/>
              </w:rPr>
              <w:t xml:space="preserve">25 nariadenia (EÚ) </w:t>
            </w:r>
            <w:r w:rsidR="00CC28D3">
              <w:rPr>
                <w:rFonts w:ascii="Times New Roman" w:hAnsi="Times New Roman"/>
                <w:sz w:val="24"/>
              </w:rPr>
              <w:t>č. </w:t>
            </w:r>
            <w:r w:rsidRPr="00CC28D3">
              <w:rPr>
                <w:rFonts w:ascii="Times New Roman" w:hAnsi="Times New Roman"/>
                <w:sz w:val="24"/>
              </w:rPr>
              <w:t>575/2013</w:t>
            </w:r>
          </w:p>
          <w:p w14:paraId="78B4A3BD" w14:textId="3C79377C"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 xml:space="preserve">Súbory vzájomného započítavania obsahujúce transakcie rôznych kategórií produktov [článok 272 bod 11 nariadenia (EÚ) </w:t>
            </w:r>
            <w:r w:rsidR="00CC28D3">
              <w:rPr>
                <w:rFonts w:ascii="Times New Roman" w:hAnsi="Times New Roman"/>
                <w:sz w:val="24"/>
              </w:rPr>
              <w:t>č. </w:t>
            </w:r>
            <w:r w:rsidRPr="00CC28D3">
              <w:rPr>
                <w:rFonts w:ascii="Times New Roman" w:hAnsi="Times New Roman"/>
                <w:sz w:val="24"/>
              </w:rPr>
              <w:t>575/2013)], t. j. deriváty</w:t>
            </w:r>
            <w:r w:rsidR="00CC28D3">
              <w:rPr>
                <w:rFonts w:ascii="Times New Roman" w:hAnsi="Times New Roman"/>
                <w:sz w:val="24"/>
              </w:rPr>
              <w:t xml:space="preserve"> a </w:t>
            </w:r>
            <w:r w:rsidRPr="00CC28D3">
              <w:rPr>
                <w:rFonts w:ascii="Times New Roman" w:hAnsi="Times New Roman"/>
                <w:sz w:val="24"/>
              </w:rPr>
              <w:t>SFT, pre ktoré existuje dohoda</w:t>
            </w:r>
            <w:r w:rsidR="00CC28D3">
              <w:rPr>
                <w:rFonts w:ascii="Times New Roman" w:hAnsi="Times New Roman"/>
                <w:sz w:val="24"/>
              </w:rPr>
              <w:t xml:space="preserve"> o </w:t>
            </w:r>
            <w:r w:rsidRPr="00CC28D3">
              <w:rPr>
                <w:rFonts w:ascii="Times New Roman" w:hAnsi="Times New Roman"/>
                <w:sz w:val="24"/>
              </w:rPr>
              <w:t>krížovom vzájomnom započítavaní produktov</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272 bode 25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a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inštitúcii povolilo určovať hodnotu expozície pomocou IMM.</w:t>
            </w:r>
          </w:p>
        </w:tc>
      </w:tr>
      <w:tr w:rsidR="00EF74C7" w:rsidRPr="00CC28D3"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CC28D3" w:rsidRDefault="00EF74C7" w:rsidP="00822842">
            <w:pPr>
              <w:pStyle w:val="Applicationdirecte"/>
              <w:spacing w:before="0" w:after="0"/>
            </w:pPr>
            <w:r w:rsidRPr="00CC28D3">
              <w:t>0080</w:t>
            </w:r>
          </w:p>
        </w:tc>
        <w:tc>
          <w:tcPr>
            <w:tcW w:w="7655" w:type="dxa"/>
            <w:tcBorders>
              <w:top w:val="single" w:sz="4" w:space="0" w:color="auto"/>
              <w:left w:val="single" w:sz="4" w:space="0" w:color="auto"/>
              <w:bottom w:val="single" w:sz="4" w:space="0" w:color="auto"/>
              <w:right w:val="single" w:sz="4" w:space="0" w:color="auto"/>
            </w:tcBorders>
          </w:tcPr>
          <w:p w14:paraId="01C8FF94" w14:textId="77777777" w:rsid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JEDNODUCHÁ METÓDA NAKLADANIA</w:t>
            </w:r>
            <w:r w:rsidR="00CC28D3">
              <w:rPr>
                <w:rStyle w:val="InstructionsTabelleberschrift"/>
                <w:rFonts w:ascii="Times New Roman" w:hAnsi="Times New Roman"/>
                <w:sz w:val="24"/>
              </w:rPr>
              <w:t xml:space="preserve"> S </w:t>
            </w:r>
            <w:r w:rsidRPr="00CC28D3">
              <w:rPr>
                <w:rStyle w:val="InstructionsTabelleberschrift"/>
                <w:rFonts w:ascii="Times New Roman" w:hAnsi="Times New Roman"/>
                <w:sz w:val="24"/>
              </w:rPr>
              <w:t>FINANČNÝM KOLATERÁLOM (PRE SFT)</w:t>
            </w:r>
          </w:p>
          <w:p w14:paraId="1E933FE3" w14:textId="208CE876" w:rsidR="00EF74C7" w:rsidRPr="00CC28D3" w:rsidRDefault="00EF74C7" w:rsidP="00822842">
            <w:pPr>
              <w:rPr>
                <w:rFonts w:ascii="Times New Roman" w:hAnsi="Times New Roman"/>
                <w:sz w:val="24"/>
              </w:rPr>
            </w:pPr>
            <w:r w:rsidRPr="00CC28D3">
              <w:rPr>
                <w:rFonts w:ascii="Times New Roman" w:hAnsi="Times New Roman"/>
                <w:sz w:val="24"/>
              </w:rPr>
              <w:t xml:space="preserve">Článok 222 nariadenia (EÚ) </w:t>
            </w:r>
            <w:r w:rsidR="00CC28D3">
              <w:rPr>
                <w:rFonts w:ascii="Times New Roman" w:hAnsi="Times New Roman"/>
                <w:sz w:val="24"/>
              </w:rPr>
              <w:t>č. </w:t>
            </w:r>
            <w:r w:rsidRPr="00CC28D3">
              <w:rPr>
                <w:rFonts w:ascii="Times New Roman" w:hAnsi="Times New Roman"/>
                <w:sz w:val="24"/>
              </w:rPr>
              <w:t>575/2013</w:t>
            </w:r>
          </w:p>
          <w:p w14:paraId="1206AB47" w14:textId="25E76027" w:rsidR="00EF74C7" w:rsidRPr="00CC28D3" w:rsidRDefault="00EF74C7" w:rsidP="00822842">
            <w:pPr>
              <w:pStyle w:val="TableMainHeading"/>
              <w:spacing w:before="60"/>
              <w:jc w:val="both"/>
              <w:rPr>
                <w:rFonts w:ascii="Times New Roman" w:hAnsi="Times New Roman"/>
                <w:sz w:val="24"/>
                <w:szCs w:val="24"/>
              </w:rPr>
            </w:pPr>
            <w:proofErr w:type="spellStart"/>
            <w:r w:rsidRPr="00CC28D3">
              <w:rPr>
                <w:rFonts w:ascii="Times New Roman" w:hAnsi="Times New Roman"/>
                <w:sz w:val="24"/>
              </w:rPr>
              <w:t>Repo</w:t>
            </w:r>
            <w:proofErr w:type="spellEnd"/>
            <w:r w:rsidRPr="00CC28D3">
              <w:rPr>
                <w:rFonts w:ascii="Times New Roman" w:hAnsi="Times New Roman"/>
                <w:sz w:val="24"/>
              </w:rPr>
              <w:t xml:space="preserve"> transakcie, transakcie požičiavania alebo vypožičiavania cenných papierov alebo komodít, transakcie</w:t>
            </w:r>
            <w:r w:rsidR="00CC28D3">
              <w:rPr>
                <w:rFonts w:ascii="Times New Roman" w:hAnsi="Times New Roman"/>
                <w:sz w:val="24"/>
              </w:rPr>
              <w:t xml:space="preserve"> s </w:t>
            </w:r>
            <w:r w:rsidRPr="00CC28D3">
              <w:rPr>
                <w:rFonts w:ascii="Times New Roman" w:hAnsi="Times New Roman"/>
                <w:sz w:val="24"/>
              </w:rPr>
              <w:t>dlhou dobou vyrovnania</w:t>
            </w:r>
            <w:r w:rsidR="00CC28D3">
              <w:rPr>
                <w:rFonts w:ascii="Times New Roman" w:hAnsi="Times New Roman"/>
                <w:sz w:val="24"/>
              </w:rPr>
              <w:t xml:space="preserve"> a </w:t>
            </w:r>
            <w:r w:rsidRPr="00CC28D3">
              <w:rPr>
                <w:rFonts w:ascii="Times New Roman" w:hAnsi="Times New Roman"/>
                <w:sz w:val="24"/>
              </w:rPr>
              <w:t>transakcie požičiavania</w:t>
            </w:r>
            <w:r w:rsidR="00CC28D3">
              <w:rPr>
                <w:rFonts w:ascii="Times New Roman" w:hAnsi="Times New Roman"/>
                <w:sz w:val="24"/>
              </w:rPr>
              <w:t xml:space="preserve"> s </w:t>
            </w:r>
            <w:proofErr w:type="spellStart"/>
            <w:r w:rsidRPr="00CC28D3">
              <w:rPr>
                <w:rFonts w:ascii="Times New Roman" w:hAnsi="Times New Roman"/>
                <w:sz w:val="24"/>
              </w:rPr>
              <w:t>dozabezpečením</w:t>
            </w:r>
            <w:proofErr w:type="spellEnd"/>
            <w:r w:rsidRPr="00CC28D3">
              <w:rPr>
                <w:rFonts w:ascii="Times New Roman" w:hAnsi="Times New Roman"/>
                <w:sz w:val="24"/>
              </w:rPr>
              <w:t>, pri ktorých sa inštitúcia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w:t>
            </w:r>
            <w:r w:rsidRPr="00CC28D3">
              <w:rPr>
                <w:rFonts w:ascii="Times New Roman" w:hAnsi="Times New Roman"/>
                <w:sz w:val="24"/>
              </w:rPr>
              <w:lastRenderedPageBreak/>
              <w:t xml:space="preserve">271 ods. 2 nariadenia (EÚ) </w:t>
            </w:r>
            <w:r w:rsidR="00CC28D3">
              <w:rPr>
                <w:rFonts w:ascii="Times New Roman" w:hAnsi="Times New Roman"/>
                <w:sz w:val="24"/>
              </w:rPr>
              <w:t>č. </w:t>
            </w:r>
            <w:r w:rsidRPr="00CC28D3">
              <w:rPr>
                <w:rFonts w:ascii="Times New Roman" w:hAnsi="Times New Roman"/>
                <w:sz w:val="24"/>
              </w:rPr>
              <w:t>575/2013 rozhodla určovať hodnotu expozície</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článkom 222 uvedeného nariadenia namiesto tretej časti hlavy II kapitoly 6 uvedeného nariadenia.</w:t>
            </w:r>
          </w:p>
        </w:tc>
      </w:tr>
      <w:tr w:rsidR="00EF74C7" w:rsidRPr="00CC28D3"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CC28D3" w:rsidRDefault="00EF74C7" w:rsidP="00822842">
            <w:pPr>
              <w:pStyle w:val="Applicationdirecte"/>
              <w:spacing w:before="0" w:after="0"/>
            </w:pPr>
            <w:r w:rsidRPr="00CC28D3">
              <w:lastRenderedPageBreak/>
              <w:t>0090</w:t>
            </w:r>
          </w:p>
        </w:tc>
        <w:tc>
          <w:tcPr>
            <w:tcW w:w="7655" w:type="dxa"/>
            <w:tcBorders>
              <w:top w:val="single" w:sz="4" w:space="0" w:color="auto"/>
              <w:left w:val="single" w:sz="4" w:space="0" w:color="auto"/>
              <w:bottom w:val="single" w:sz="4" w:space="0" w:color="auto"/>
              <w:right w:val="single" w:sz="4" w:space="0" w:color="auto"/>
            </w:tcBorders>
          </w:tcPr>
          <w:p w14:paraId="28F9D683" w14:textId="7235A3B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SÚHRNNÁ METÓDA NAKLADANIA</w:t>
            </w:r>
            <w:r w:rsidR="00CC28D3">
              <w:rPr>
                <w:rStyle w:val="InstructionsTabelleberschrift"/>
                <w:rFonts w:ascii="Times New Roman" w:hAnsi="Times New Roman"/>
                <w:sz w:val="24"/>
              </w:rPr>
              <w:t xml:space="preserve"> S </w:t>
            </w:r>
            <w:r w:rsidRPr="00CC28D3">
              <w:rPr>
                <w:rStyle w:val="InstructionsTabelleberschrift"/>
                <w:rFonts w:ascii="Times New Roman" w:hAnsi="Times New Roman"/>
                <w:sz w:val="24"/>
              </w:rPr>
              <w:t>FINANČNÝM KOLATERÁLOM (PRE SFT)</w:t>
            </w:r>
          </w:p>
          <w:p w14:paraId="13A72AE5" w14:textId="668FC4CB" w:rsidR="00EF74C7" w:rsidRPr="00CC28D3" w:rsidRDefault="00EF74C7" w:rsidP="00822842">
            <w:pPr>
              <w:rPr>
                <w:rFonts w:ascii="Times New Roman" w:hAnsi="Times New Roman"/>
                <w:sz w:val="24"/>
              </w:rPr>
            </w:pPr>
            <w:r w:rsidRPr="00CC28D3">
              <w:rPr>
                <w:rFonts w:ascii="Times New Roman" w:hAnsi="Times New Roman"/>
                <w:sz w:val="24"/>
              </w:rPr>
              <w:t>Články 220</w:t>
            </w:r>
            <w:r w:rsidR="00CC28D3">
              <w:rPr>
                <w:rFonts w:ascii="Times New Roman" w:hAnsi="Times New Roman"/>
                <w:sz w:val="24"/>
              </w:rPr>
              <w:t xml:space="preserve"> a </w:t>
            </w:r>
            <w:r w:rsidRPr="00CC28D3">
              <w:rPr>
                <w:rFonts w:ascii="Times New Roman" w:hAnsi="Times New Roman"/>
                <w:sz w:val="24"/>
              </w:rPr>
              <w:t xml:space="preserve">223 nariadenia (EÚ) </w:t>
            </w:r>
            <w:r w:rsidR="00CC28D3">
              <w:rPr>
                <w:rFonts w:ascii="Times New Roman" w:hAnsi="Times New Roman"/>
                <w:sz w:val="24"/>
              </w:rPr>
              <w:t>č. </w:t>
            </w:r>
            <w:r w:rsidRPr="00CC28D3">
              <w:rPr>
                <w:rFonts w:ascii="Times New Roman" w:hAnsi="Times New Roman"/>
                <w:sz w:val="24"/>
              </w:rPr>
              <w:t>575/2013</w:t>
            </w:r>
          </w:p>
          <w:p w14:paraId="0F255BBA" w14:textId="4D9156F2" w:rsidR="00EF74C7" w:rsidRPr="00CC28D3" w:rsidRDefault="00EF74C7" w:rsidP="00822842">
            <w:pPr>
              <w:pStyle w:val="TableMainHeading"/>
              <w:spacing w:before="60"/>
              <w:jc w:val="both"/>
              <w:rPr>
                <w:rFonts w:ascii="Times New Roman" w:hAnsi="Times New Roman"/>
                <w:i/>
                <w:sz w:val="24"/>
                <w:szCs w:val="24"/>
              </w:rPr>
            </w:pPr>
            <w:proofErr w:type="spellStart"/>
            <w:r w:rsidRPr="00CC28D3">
              <w:rPr>
                <w:rFonts w:ascii="Times New Roman" w:hAnsi="Times New Roman"/>
                <w:sz w:val="24"/>
              </w:rPr>
              <w:t>Repo</w:t>
            </w:r>
            <w:proofErr w:type="spellEnd"/>
            <w:r w:rsidRPr="00CC28D3">
              <w:rPr>
                <w:rFonts w:ascii="Times New Roman" w:hAnsi="Times New Roman"/>
                <w:sz w:val="24"/>
              </w:rPr>
              <w:t xml:space="preserve"> transakcie, transakcie požičiavania alebo vypožičiavania cenných papierov alebo komodít, transakcie</w:t>
            </w:r>
            <w:r w:rsidR="00CC28D3">
              <w:rPr>
                <w:rFonts w:ascii="Times New Roman" w:hAnsi="Times New Roman"/>
                <w:sz w:val="24"/>
              </w:rPr>
              <w:t xml:space="preserve"> s </w:t>
            </w:r>
            <w:r w:rsidRPr="00CC28D3">
              <w:rPr>
                <w:rFonts w:ascii="Times New Roman" w:hAnsi="Times New Roman"/>
                <w:sz w:val="24"/>
              </w:rPr>
              <w:t>dlhou dobou vyrovnania</w:t>
            </w:r>
            <w:r w:rsidR="00CC28D3">
              <w:rPr>
                <w:rFonts w:ascii="Times New Roman" w:hAnsi="Times New Roman"/>
                <w:sz w:val="24"/>
              </w:rPr>
              <w:t xml:space="preserve"> a </w:t>
            </w:r>
            <w:r w:rsidRPr="00CC28D3">
              <w:rPr>
                <w:rFonts w:ascii="Times New Roman" w:hAnsi="Times New Roman"/>
                <w:sz w:val="24"/>
              </w:rPr>
              <w:t>transakcie požičiavania</w:t>
            </w:r>
            <w:r w:rsidR="00CC28D3">
              <w:rPr>
                <w:rFonts w:ascii="Times New Roman" w:hAnsi="Times New Roman"/>
                <w:sz w:val="24"/>
              </w:rPr>
              <w:t xml:space="preserve"> s </w:t>
            </w:r>
            <w:proofErr w:type="spellStart"/>
            <w:r w:rsidRPr="00CC28D3">
              <w:rPr>
                <w:rFonts w:ascii="Times New Roman" w:hAnsi="Times New Roman"/>
                <w:sz w:val="24"/>
              </w:rPr>
              <w:t>dozabezpečením</w:t>
            </w:r>
            <w:proofErr w:type="spellEnd"/>
            <w:r w:rsidRPr="00CC28D3">
              <w:rPr>
                <w:rFonts w:ascii="Times New Roman" w:hAnsi="Times New Roman"/>
                <w:sz w:val="24"/>
              </w:rPr>
              <w:t>, pri ktorých sa inštitúcia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271 ods. 2 nariadenia (EÚ) </w:t>
            </w:r>
            <w:r w:rsidR="00CC28D3">
              <w:rPr>
                <w:rFonts w:ascii="Times New Roman" w:hAnsi="Times New Roman"/>
                <w:sz w:val="24"/>
              </w:rPr>
              <w:t>č. </w:t>
            </w:r>
            <w:r w:rsidRPr="00CC28D3">
              <w:rPr>
                <w:rFonts w:ascii="Times New Roman" w:hAnsi="Times New Roman"/>
                <w:sz w:val="24"/>
              </w:rPr>
              <w:t>575/2013 rozhodla určovať hodnotu expozície</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článkom 223 uvedeného nariadenia namiesto tretej časti hlavy II kapitoly 6 uvedeného nariadenia.</w:t>
            </w:r>
          </w:p>
        </w:tc>
      </w:tr>
      <w:tr w:rsidR="00EF74C7" w:rsidRPr="00CC28D3"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CC28D3" w:rsidRDefault="00EF74C7" w:rsidP="00822842">
            <w:pPr>
              <w:pStyle w:val="Applicationdirecte"/>
              <w:spacing w:before="0" w:after="0"/>
            </w:pPr>
            <w:r w:rsidRPr="00CC28D3">
              <w:t>0100</w:t>
            </w:r>
          </w:p>
        </w:tc>
        <w:tc>
          <w:tcPr>
            <w:tcW w:w="7655" w:type="dxa"/>
            <w:tcBorders>
              <w:top w:val="single" w:sz="4" w:space="0" w:color="auto"/>
              <w:left w:val="single" w:sz="4" w:space="0" w:color="auto"/>
              <w:bottom w:val="single" w:sz="4" w:space="0" w:color="auto"/>
              <w:right w:val="single" w:sz="4" w:space="0" w:color="auto"/>
            </w:tcBorders>
          </w:tcPr>
          <w:p w14:paraId="22D23DEB" w14:textId="7AED42EC"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HODNOTA</w:t>
            </w:r>
            <w:r w:rsidR="00CC28D3">
              <w:rPr>
                <w:rStyle w:val="InstructionsTabelleberschrift"/>
                <w:rFonts w:ascii="Times New Roman" w:hAnsi="Times New Roman"/>
                <w:sz w:val="24"/>
              </w:rPr>
              <w:t xml:space="preserve"> V </w:t>
            </w:r>
            <w:r w:rsidRPr="00CC28D3">
              <w:rPr>
                <w:rStyle w:val="InstructionsTabelleberschrift"/>
                <w:rFonts w:ascii="Times New Roman" w:hAnsi="Times New Roman"/>
                <w:sz w:val="24"/>
              </w:rPr>
              <w:t>RIZIKU PRE SFT</w:t>
            </w:r>
          </w:p>
          <w:p w14:paraId="769E33FD" w14:textId="26CC8B8D" w:rsidR="00EF74C7" w:rsidRPr="00CC28D3" w:rsidRDefault="00EF74C7" w:rsidP="00822842">
            <w:pPr>
              <w:rPr>
                <w:rFonts w:ascii="Times New Roman" w:hAnsi="Times New Roman"/>
                <w:sz w:val="24"/>
              </w:rPr>
            </w:pPr>
            <w:r w:rsidRPr="00CC28D3">
              <w:rPr>
                <w:rFonts w:ascii="Times New Roman" w:hAnsi="Times New Roman"/>
                <w:sz w:val="24"/>
              </w:rPr>
              <w:t xml:space="preserve">Článok 221 nariadenia (EÚ) </w:t>
            </w:r>
            <w:r w:rsidR="00CC28D3">
              <w:rPr>
                <w:rFonts w:ascii="Times New Roman" w:hAnsi="Times New Roman"/>
                <w:sz w:val="24"/>
              </w:rPr>
              <w:t>č. </w:t>
            </w:r>
            <w:r w:rsidRPr="00CC28D3">
              <w:rPr>
                <w:rFonts w:ascii="Times New Roman" w:hAnsi="Times New Roman"/>
                <w:sz w:val="24"/>
              </w:rPr>
              <w:t>575/2013</w:t>
            </w:r>
          </w:p>
          <w:p w14:paraId="2E3D6606" w14:textId="2C52527B" w:rsidR="00EF74C7" w:rsidRPr="00CC28D3" w:rsidRDefault="00EF74C7" w:rsidP="00822842">
            <w:pPr>
              <w:pStyle w:val="TableMainHeading"/>
              <w:spacing w:before="60"/>
              <w:jc w:val="both"/>
              <w:rPr>
                <w:rFonts w:ascii="Times New Roman" w:hAnsi="Times New Roman"/>
                <w:sz w:val="24"/>
                <w:szCs w:val="24"/>
              </w:rPr>
            </w:pPr>
            <w:proofErr w:type="spellStart"/>
            <w:r w:rsidRPr="00CC28D3">
              <w:rPr>
                <w:rFonts w:ascii="Times New Roman" w:hAnsi="Times New Roman"/>
                <w:sz w:val="24"/>
              </w:rPr>
              <w:t>Repo</w:t>
            </w:r>
            <w:proofErr w:type="spellEnd"/>
            <w:r w:rsidRPr="00CC28D3">
              <w:rPr>
                <w:rFonts w:ascii="Times New Roman" w:hAnsi="Times New Roman"/>
                <w:sz w:val="24"/>
              </w:rPr>
              <w:t xml:space="preserve"> transakcie, transakcie požičiavania alebo vypožičiavania cenných papierov alebo komodít, transakcie požičiavania</w:t>
            </w:r>
            <w:r w:rsidR="00CC28D3">
              <w:rPr>
                <w:rFonts w:ascii="Times New Roman" w:hAnsi="Times New Roman"/>
                <w:sz w:val="24"/>
              </w:rPr>
              <w:t xml:space="preserve"> s </w:t>
            </w:r>
            <w:proofErr w:type="spellStart"/>
            <w:r w:rsidRPr="00CC28D3">
              <w:rPr>
                <w:rFonts w:ascii="Times New Roman" w:hAnsi="Times New Roman"/>
                <w:sz w:val="24"/>
              </w:rPr>
              <w:t>dozabezpečením</w:t>
            </w:r>
            <w:proofErr w:type="spellEnd"/>
            <w:r w:rsidRPr="00CC28D3">
              <w:rPr>
                <w:rFonts w:ascii="Times New Roman" w:hAnsi="Times New Roman"/>
                <w:sz w:val="24"/>
              </w:rPr>
              <w:t xml:space="preserve"> alebo iné transakcie kapitálového trhu</w:t>
            </w:r>
            <w:r w:rsidR="00CC28D3">
              <w:rPr>
                <w:rFonts w:ascii="Times New Roman" w:hAnsi="Times New Roman"/>
                <w:sz w:val="24"/>
              </w:rPr>
              <w:t xml:space="preserve"> s </w:t>
            </w:r>
            <w:r w:rsidRPr="00CC28D3">
              <w:rPr>
                <w:rFonts w:ascii="Times New Roman" w:hAnsi="Times New Roman"/>
                <w:sz w:val="24"/>
              </w:rPr>
              <w:t>výnimkou derivátových transakcií, pri ktorých sa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221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a s </w:t>
            </w:r>
            <w:r w:rsidRPr="00CC28D3">
              <w:rPr>
                <w:rFonts w:ascii="Times New Roman" w:hAnsi="Times New Roman"/>
                <w:sz w:val="24"/>
              </w:rPr>
              <w:t>výhradou povolenia príslušného orgánu hodnota expozície vypočítava</w:t>
            </w:r>
            <w:r w:rsidR="00CC28D3">
              <w:rPr>
                <w:rFonts w:ascii="Times New Roman" w:hAnsi="Times New Roman"/>
                <w:sz w:val="24"/>
              </w:rPr>
              <w:t xml:space="preserve"> s </w:t>
            </w:r>
            <w:r w:rsidRPr="00CC28D3">
              <w:rPr>
                <w:rFonts w:ascii="Times New Roman" w:hAnsi="Times New Roman"/>
                <w:sz w:val="24"/>
              </w:rPr>
              <w:t>použitím prístupu interného modelu, ktorý zohľadňuje účinky korelácie medzi pozíciami cenných papierov</w:t>
            </w:r>
            <w:r w:rsidR="00CC28D3">
              <w:rPr>
                <w:rFonts w:ascii="Times New Roman" w:hAnsi="Times New Roman"/>
                <w:sz w:val="24"/>
              </w:rPr>
              <w:t xml:space="preserve"> v </w:t>
            </w:r>
            <w:r w:rsidRPr="00CC28D3">
              <w:rPr>
                <w:rFonts w:ascii="Times New Roman" w:hAnsi="Times New Roman"/>
                <w:sz w:val="24"/>
              </w:rPr>
              <w:t>zmysle rámcovej dohody</w:t>
            </w:r>
            <w:r w:rsidR="00CC28D3">
              <w:rPr>
                <w:rFonts w:ascii="Times New Roman" w:hAnsi="Times New Roman"/>
                <w:sz w:val="24"/>
              </w:rPr>
              <w:t xml:space="preserve"> o </w:t>
            </w:r>
            <w:r w:rsidRPr="00CC28D3">
              <w:rPr>
                <w:rFonts w:ascii="Times New Roman" w:hAnsi="Times New Roman"/>
                <w:sz w:val="24"/>
              </w:rPr>
              <w:t xml:space="preserve">vzájomnom započítavaní, ako aj likviditu príslušných nástrojov. </w:t>
            </w:r>
          </w:p>
        </w:tc>
      </w:tr>
      <w:tr w:rsidR="00EF74C7" w:rsidRPr="00CC28D3"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CC28D3" w:rsidRDefault="00EF74C7" w:rsidP="00822842">
            <w:pPr>
              <w:pStyle w:val="Applicationdirecte"/>
              <w:spacing w:before="0" w:after="0"/>
            </w:pPr>
            <w:r w:rsidRPr="00CC28D3">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SPOLU</w:t>
            </w:r>
          </w:p>
          <w:p w14:paraId="31701FF7" w14:textId="77777777" w:rsidR="00EF74C7" w:rsidRPr="00CC28D3" w:rsidRDefault="00EF74C7" w:rsidP="00822842">
            <w:pPr>
              <w:keepNext/>
              <w:spacing w:before="60"/>
              <w:rPr>
                <w:rStyle w:val="InstructionsTabelleberschrift"/>
                <w:rFonts w:ascii="Times New Roman" w:hAnsi="Times New Roman"/>
                <w:sz w:val="24"/>
              </w:rPr>
            </w:pPr>
          </w:p>
        </w:tc>
      </w:tr>
      <w:tr w:rsidR="00EF74C7" w:rsidRPr="00CC28D3" w14:paraId="04998E4D" w14:textId="77777777" w:rsidTr="00822842">
        <w:trPr>
          <w:trHeight w:val="1502"/>
        </w:trPr>
        <w:tc>
          <w:tcPr>
            <w:tcW w:w="1384" w:type="dxa"/>
          </w:tcPr>
          <w:p w14:paraId="1C32D020" w14:textId="77777777" w:rsidR="00EF74C7" w:rsidRPr="00CC28D3" w:rsidDel="003E0C6A" w:rsidRDefault="00EF74C7" w:rsidP="00822842">
            <w:pPr>
              <w:pStyle w:val="Applicationdirecte"/>
              <w:spacing w:before="60" w:after="0"/>
              <w:jc w:val="left"/>
            </w:pPr>
            <w:r w:rsidRPr="00CC28D3">
              <w:t>0120</w:t>
            </w:r>
          </w:p>
        </w:tc>
        <w:tc>
          <w:tcPr>
            <w:tcW w:w="7655" w:type="dxa"/>
          </w:tcPr>
          <w:p w14:paraId="64672F51"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Z čoho: pozície so špecifickým rizikom nesprávnej voľby (SWWR)</w:t>
            </w:r>
          </w:p>
          <w:p w14:paraId="658F3281" w14:textId="5B96CDA2" w:rsidR="00EF74C7" w:rsidRPr="00CC28D3" w:rsidRDefault="00EF74C7" w:rsidP="00822842">
            <w:pPr>
              <w:keepNext/>
              <w:spacing w:before="60"/>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 xml:space="preserve">Článok 291 </w:t>
            </w:r>
            <w:r w:rsidRPr="00CC28D3">
              <w:rPr>
                <w:rFonts w:ascii="Times New Roman" w:hAnsi="Times New Roman"/>
                <w:sz w:val="24"/>
              </w:rPr>
              <w:t xml:space="preserve">nariadenia (EÚ) </w:t>
            </w:r>
            <w:r w:rsidR="00CC28D3">
              <w:rPr>
                <w:rFonts w:ascii="Times New Roman" w:hAnsi="Times New Roman"/>
                <w:sz w:val="24"/>
              </w:rPr>
              <w:t>č. </w:t>
            </w:r>
            <w:r w:rsidRPr="00CC28D3">
              <w:rPr>
                <w:rFonts w:ascii="Times New Roman" w:hAnsi="Times New Roman"/>
                <w:sz w:val="24"/>
              </w:rPr>
              <w:t>575/2013</w:t>
            </w:r>
          </w:p>
          <w:p w14:paraId="41917746" w14:textId="305CBC59" w:rsidR="00EF74C7" w:rsidRPr="00CC28D3" w:rsidDel="003E0C6A" w:rsidRDefault="00EF74C7" w:rsidP="00822842">
            <w:pPr>
              <w:keepNext/>
              <w:spacing w:before="60"/>
              <w:rPr>
                <w:rFonts w:ascii="Times New Roman" w:hAnsi="Times New Roman"/>
                <w:bCs/>
                <w:sz w:val="24"/>
              </w:rPr>
            </w:pPr>
            <w:r w:rsidRPr="00CC28D3">
              <w:rPr>
                <w:rStyle w:val="InstructionsTabelleberschrift"/>
                <w:rFonts w:ascii="Times New Roman" w:hAnsi="Times New Roman"/>
                <w:b w:val="0"/>
                <w:sz w:val="24"/>
                <w:u w:val="none"/>
              </w:rPr>
              <w:t>Expozície voči CCR, pri ktorých bolo</w:t>
            </w:r>
            <w:r w:rsidR="00CC28D3">
              <w:rPr>
                <w:rStyle w:val="InstructionsTabelleberschrift"/>
                <w:rFonts w:ascii="Times New Roman" w:hAnsi="Times New Roman"/>
                <w:b w:val="0"/>
                <w:sz w:val="24"/>
                <w:u w:val="none"/>
              </w:rPr>
              <w:t xml:space="preserve"> v </w:t>
            </w:r>
            <w:r w:rsidRPr="00CC28D3">
              <w:rPr>
                <w:rStyle w:val="InstructionsTabelleberschrift"/>
                <w:rFonts w:ascii="Times New Roman" w:hAnsi="Times New Roman"/>
                <w:b w:val="0"/>
                <w:sz w:val="24"/>
                <w:u w:val="none"/>
              </w:rPr>
              <w:t>súlade</w:t>
            </w:r>
            <w:r w:rsidR="00CC28D3">
              <w:rPr>
                <w:rStyle w:val="InstructionsTabelleberschrift"/>
                <w:rFonts w:ascii="Times New Roman" w:hAnsi="Times New Roman"/>
                <w:b w:val="0"/>
                <w:sz w:val="24"/>
                <w:u w:val="none"/>
              </w:rPr>
              <w:t xml:space="preserve"> s </w:t>
            </w:r>
            <w:r w:rsidRPr="00CC28D3">
              <w:rPr>
                <w:rStyle w:val="InstructionsTabelleberschrift"/>
                <w:rFonts w:ascii="Times New Roman" w:hAnsi="Times New Roman"/>
                <w:b w:val="0"/>
                <w:sz w:val="24"/>
                <w:u w:val="none"/>
              </w:rPr>
              <w:t>článkom 291</w:t>
            </w:r>
            <w:r w:rsidRPr="00CC28D3">
              <w:rPr>
                <w:rFonts w:ascii="Times New Roman" w:hAnsi="Times New Roman"/>
                <w:sz w:val="24"/>
              </w:rPr>
              <w:t xml:space="preserve"> nariadenia (EÚ) </w:t>
            </w:r>
            <w:r w:rsidR="00CC28D3">
              <w:rPr>
                <w:rFonts w:ascii="Times New Roman" w:hAnsi="Times New Roman"/>
                <w:sz w:val="24"/>
              </w:rPr>
              <w:t>č. </w:t>
            </w:r>
            <w:r w:rsidRPr="00CC28D3">
              <w:rPr>
                <w:rFonts w:ascii="Times New Roman" w:hAnsi="Times New Roman"/>
                <w:sz w:val="24"/>
              </w:rPr>
              <w:t xml:space="preserve">575/2013 </w:t>
            </w:r>
            <w:r w:rsidRPr="00CC28D3">
              <w:rPr>
                <w:rStyle w:val="InstructionsTabelleberschrift"/>
                <w:rFonts w:ascii="Times New Roman" w:hAnsi="Times New Roman"/>
                <w:b w:val="0"/>
                <w:sz w:val="24"/>
                <w:u w:val="none"/>
              </w:rPr>
              <w:t>zistené špecifické riziko nesprávnej voľby (SWWR).</w:t>
            </w:r>
          </w:p>
        </w:tc>
      </w:tr>
      <w:tr w:rsidR="00EF74C7" w:rsidRPr="00CC28D3" w14:paraId="59B010B6" w14:textId="77777777" w:rsidTr="00822842">
        <w:trPr>
          <w:trHeight w:val="426"/>
        </w:trPr>
        <w:tc>
          <w:tcPr>
            <w:tcW w:w="1384" w:type="dxa"/>
          </w:tcPr>
          <w:p w14:paraId="11F4D998" w14:textId="77777777" w:rsidR="00EF74C7" w:rsidRPr="00CC28D3" w:rsidDel="003E0C6A" w:rsidRDefault="00EF74C7" w:rsidP="00822842">
            <w:pPr>
              <w:pStyle w:val="Applicationdirecte"/>
              <w:spacing w:before="60" w:after="0"/>
              <w:jc w:val="left"/>
            </w:pPr>
            <w:r w:rsidRPr="00CC28D3">
              <w:t>0130</w:t>
            </w:r>
          </w:p>
        </w:tc>
        <w:tc>
          <w:tcPr>
            <w:tcW w:w="7655" w:type="dxa"/>
          </w:tcPr>
          <w:p w14:paraId="794C69D7" w14:textId="39194BA9"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Obchodná činnosť, na ktorú sa vzťahuje dohoda</w:t>
            </w:r>
            <w:r w:rsidR="00CC28D3">
              <w:rPr>
                <w:rStyle w:val="InstructionsTabelleberschrift"/>
                <w:rFonts w:ascii="Times New Roman" w:hAnsi="Times New Roman"/>
                <w:sz w:val="24"/>
              </w:rPr>
              <w:t xml:space="preserve"> o </w:t>
            </w:r>
            <w:proofErr w:type="spellStart"/>
            <w:r w:rsidRPr="00CC28D3">
              <w:rPr>
                <w:rStyle w:val="InstructionsTabelleberschrift"/>
                <w:rFonts w:ascii="Times New Roman" w:hAnsi="Times New Roman"/>
                <w:sz w:val="24"/>
              </w:rPr>
              <w:t>dozabezpečení</w:t>
            </w:r>
            <w:proofErr w:type="spellEnd"/>
          </w:p>
          <w:p w14:paraId="03856435" w14:textId="0802504D" w:rsidR="00EF74C7" w:rsidRPr="00CC28D3" w:rsidRDefault="00EF74C7" w:rsidP="00822842">
            <w:pPr>
              <w:keepNext/>
              <w:spacing w:before="60"/>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 xml:space="preserve">Článok 272 bod 7 </w:t>
            </w:r>
            <w:r w:rsidRPr="00CC28D3">
              <w:rPr>
                <w:rFonts w:ascii="Times New Roman" w:hAnsi="Times New Roman"/>
                <w:sz w:val="24"/>
              </w:rPr>
              <w:t xml:space="preserve">nariadenia (EÚ) </w:t>
            </w:r>
            <w:r w:rsidR="00CC28D3">
              <w:rPr>
                <w:rFonts w:ascii="Times New Roman" w:hAnsi="Times New Roman"/>
                <w:sz w:val="24"/>
              </w:rPr>
              <w:t>č. </w:t>
            </w:r>
            <w:r w:rsidRPr="00CC28D3">
              <w:rPr>
                <w:rFonts w:ascii="Times New Roman" w:hAnsi="Times New Roman"/>
                <w:sz w:val="24"/>
              </w:rPr>
              <w:t>575/2013</w:t>
            </w:r>
          </w:p>
          <w:p w14:paraId="2F61E58D" w14:textId="3B877EB1" w:rsidR="00EF74C7" w:rsidRPr="00CC28D3" w:rsidDel="003E0C6A" w:rsidRDefault="00EF74C7" w:rsidP="00822842">
            <w:pPr>
              <w:keepNext/>
              <w:spacing w:before="60"/>
              <w:rPr>
                <w:rFonts w:ascii="Times New Roman" w:hAnsi="Times New Roman"/>
                <w:sz w:val="24"/>
              </w:rPr>
            </w:pPr>
            <w:r w:rsidRPr="00CC28D3">
              <w:rPr>
                <w:rStyle w:val="InstructionsTabelleberschrift"/>
                <w:rFonts w:ascii="Times New Roman" w:hAnsi="Times New Roman"/>
                <w:b w:val="0"/>
                <w:sz w:val="24"/>
                <w:u w:val="none"/>
              </w:rPr>
              <w:t>Expozície voči CCR, na ktoré sa vzťahuje dohoda</w:t>
            </w:r>
            <w:r w:rsidR="00CC28D3">
              <w:rPr>
                <w:rStyle w:val="InstructionsTabelleberschrift"/>
                <w:rFonts w:ascii="Times New Roman" w:hAnsi="Times New Roman"/>
                <w:b w:val="0"/>
                <w:sz w:val="24"/>
                <w:u w:val="none"/>
              </w:rPr>
              <w:t xml:space="preserve"> o </w:t>
            </w:r>
            <w:proofErr w:type="spellStart"/>
            <w:r w:rsidRPr="00CC28D3">
              <w:rPr>
                <w:rStyle w:val="InstructionsTabelleberschrift"/>
                <w:rFonts w:ascii="Times New Roman" w:hAnsi="Times New Roman"/>
                <w:b w:val="0"/>
                <w:sz w:val="24"/>
                <w:u w:val="none"/>
              </w:rPr>
              <w:t>dozabezpečení</w:t>
            </w:r>
            <w:proofErr w:type="spellEnd"/>
            <w:r w:rsidRPr="00CC28D3">
              <w:rPr>
                <w:rStyle w:val="InstructionsTabelleberschrift"/>
                <w:rFonts w:ascii="Times New Roman" w:hAnsi="Times New Roman"/>
                <w:b w:val="0"/>
                <w:sz w:val="24"/>
                <w:u w:val="none"/>
              </w:rPr>
              <w:t>, t. j. súbory vzájomného započítavania, na ktoré sa vzťahuje dohoda</w:t>
            </w:r>
            <w:r w:rsidR="00CC28D3">
              <w:rPr>
                <w:rStyle w:val="InstructionsTabelleberschrift"/>
                <w:rFonts w:ascii="Times New Roman" w:hAnsi="Times New Roman"/>
                <w:b w:val="0"/>
                <w:sz w:val="24"/>
                <w:u w:val="none"/>
              </w:rPr>
              <w:t xml:space="preserve"> o </w:t>
            </w:r>
            <w:proofErr w:type="spellStart"/>
            <w:r w:rsidRPr="00CC28D3">
              <w:rPr>
                <w:rStyle w:val="InstructionsTabelleberschrift"/>
                <w:rFonts w:ascii="Times New Roman" w:hAnsi="Times New Roman"/>
                <w:b w:val="0"/>
                <w:sz w:val="24"/>
                <w:u w:val="none"/>
              </w:rPr>
              <w:t>dozabezpečení</w:t>
            </w:r>
            <w:proofErr w:type="spellEnd"/>
            <w:r w:rsidR="00CC28D3">
              <w:rPr>
                <w:rStyle w:val="InstructionsTabelleberschrift"/>
                <w:rFonts w:ascii="Times New Roman" w:hAnsi="Times New Roman"/>
                <w:b w:val="0"/>
                <w:sz w:val="24"/>
                <w:u w:val="none"/>
              </w:rPr>
              <w:t xml:space="preserve"> v </w:t>
            </w:r>
            <w:r w:rsidRPr="00CC28D3">
              <w:rPr>
                <w:rStyle w:val="InstructionsTabelleberschrift"/>
                <w:rFonts w:ascii="Times New Roman" w:hAnsi="Times New Roman"/>
                <w:b w:val="0"/>
                <w:sz w:val="24"/>
                <w:u w:val="none"/>
              </w:rPr>
              <w:t>súlade</w:t>
            </w:r>
            <w:r w:rsidR="00CC28D3">
              <w:rPr>
                <w:rStyle w:val="InstructionsTabelleberschrift"/>
                <w:rFonts w:ascii="Times New Roman" w:hAnsi="Times New Roman"/>
                <w:b w:val="0"/>
                <w:sz w:val="24"/>
                <w:u w:val="none"/>
              </w:rPr>
              <w:t xml:space="preserve"> s </w:t>
            </w:r>
            <w:r w:rsidRPr="00CC28D3">
              <w:rPr>
                <w:rStyle w:val="InstructionsTabelleberschrift"/>
                <w:rFonts w:ascii="Times New Roman" w:hAnsi="Times New Roman"/>
                <w:b w:val="0"/>
                <w:sz w:val="24"/>
                <w:u w:val="none"/>
              </w:rPr>
              <w:t>článkom 272 bodom 7</w:t>
            </w:r>
            <w:r w:rsidRPr="00CC28D3">
              <w:rPr>
                <w:rFonts w:ascii="Times New Roman" w:hAnsi="Times New Roman"/>
                <w:sz w:val="24"/>
              </w:rPr>
              <w:t xml:space="preserve"> nariadenia (EÚ) </w:t>
            </w:r>
            <w:r w:rsidR="00CC28D3">
              <w:rPr>
                <w:rFonts w:ascii="Times New Roman" w:hAnsi="Times New Roman"/>
                <w:sz w:val="24"/>
              </w:rPr>
              <w:t>č. </w:t>
            </w:r>
            <w:r w:rsidRPr="00CC28D3">
              <w:rPr>
                <w:rFonts w:ascii="Times New Roman" w:hAnsi="Times New Roman"/>
                <w:sz w:val="24"/>
              </w:rPr>
              <w:t>575/2013</w:t>
            </w:r>
            <w:r w:rsidRPr="00CC28D3">
              <w:rPr>
                <w:rStyle w:val="InstructionsTabelleberschrift"/>
                <w:rFonts w:ascii="Times New Roman" w:hAnsi="Times New Roman"/>
                <w:b w:val="0"/>
                <w:sz w:val="24"/>
                <w:u w:val="none"/>
              </w:rPr>
              <w:t>.</w:t>
            </w:r>
          </w:p>
        </w:tc>
      </w:tr>
      <w:tr w:rsidR="00EF74C7" w:rsidRPr="00CC28D3" w14:paraId="518FA613" w14:textId="77777777" w:rsidTr="00822842">
        <w:trPr>
          <w:trHeight w:val="829"/>
        </w:trPr>
        <w:tc>
          <w:tcPr>
            <w:tcW w:w="1384" w:type="dxa"/>
          </w:tcPr>
          <w:p w14:paraId="527E02B0" w14:textId="77777777" w:rsidR="00EF74C7" w:rsidRPr="00CC28D3" w:rsidDel="003E0C6A" w:rsidRDefault="00EF74C7" w:rsidP="00822842">
            <w:pPr>
              <w:pStyle w:val="Applicationdirecte"/>
              <w:spacing w:before="60" w:after="0"/>
              <w:jc w:val="left"/>
            </w:pPr>
            <w:r w:rsidRPr="00CC28D3">
              <w:t>0140</w:t>
            </w:r>
          </w:p>
        </w:tc>
        <w:tc>
          <w:tcPr>
            <w:tcW w:w="7655" w:type="dxa"/>
          </w:tcPr>
          <w:p w14:paraId="4739FB58" w14:textId="4D81C9FD"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Obchodná činnosť, na ktorú sa nevzťahuje dohoda</w:t>
            </w:r>
            <w:r w:rsidR="00CC28D3">
              <w:rPr>
                <w:rStyle w:val="InstructionsTabelleberschrift"/>
                <w:rFonts w:ascii="Times New Roman" w:hAnsi="Times New Roman"/>
                <w:sz w:val="24"/>
              </w:rPr>
              <w:t xml:space="preserve"> o </w:t>
            </w:r>
            <w:proofErr w:type="spellStart"/>
            <w:r w:rsidRPr="00CC28D3">
              <w:rPr>
                <w:rStyle w:val="InstructionsTabelleberschrift"/>
                <w:rFonts w:ascii="Times New Roman" w:hAnsi="Times New Roman"/>
                <w:sz w:val="24"/>
              </w:rPr>
              <w:t>dozabezpečení</w:t>
            </w:r>
            <w:proofErr w:type="spellEnd"/>
          </w:p>
          <w:p w14:paraId="166C3DE8" w14:textId="6AC1C633" w:rsidR="00EF74C7" w:rsidRPr="00CC28D3" w:rsidDel="003E0C6A" w:rsidRDefault="00EF74C7" w:rsidP="00822842">
            <w:pPr>
              <w:rPr>
                <w:rFonts w:ascii="Times New Roman" w:hAnsi="Times New Roman"/>
                <w:sz w:val="24"/>
              </w:rPr>
            </w:pPr>
            <w:r w:rsidRPr="00CC28D3">
              <w:rPr>
                <w:rFonts w:ascii="Times New Roman" w:hAnsi="Times New Roman"/>
                <w:sz w:val="24"/>
              </w:rPr>
              <w:t>Expozície voči CCR, ktoré nie sú zahrnuté</w:t>
            </w:r>
            <w:r w:rsidR="00CC28D3">
              <w:rPr>
                <w:rFonts w:ascii="Times New Roman" w:hAnsi="Times New Roman"/>
                <w:sz w:val="24"/>
              </w:rPr>
              <w:t xml:space="preserve"> v </w:t>
            </w:r>
            <w:r w:rsidRPr="00CC28D3">
              <w:rPr>
                <w:rFonts w:ascii="Times New Roman" w:hAnsi="Times New Roman"/>
                <w:sz w:val="24"/>
              </w:rPr>
              <w:t>riadku 0130.</w:t>
            </w:r>
          </w:p>
        </w:tc>
      </w:tr>
    </w:tbl>
    <w:p w14:paraId="0EE31AF8" w14:textId="77777777" w:rsidR="00EF74C7" w:rsidRPr="00CC28D3" w:rsidRDefault="00EF74C7" w:rsidP="00EF74C7">
      <w:pPr>
        <w:rPr>
          <w:rFonts w:ascii="Times New Roman" w:hAnsi="Times New Roman"/>
          <w:sz w:val="24"/>
        </w:rPr>
      </w:pPr>
    </w:p>
    <w:p w14:paraId="398E5D6F" w14:textId="5E44B062" w:rsidR="00EF74C7" w:rsidRPr="00CC28D3"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sidRPr="00CC28D3">
        <w:rPr>
          <w:rFonts w:ascii="Times New Roman" w:hAnsi="Times New Roman"/>
          <w:sz w:val="24"/>
        </w:rPr>
        <w:lastRenderedPageBreak/>
        <w:t>C 34.03 –⁠ Expozície voči CCR,</w:t>
      </w:r>
      <w:r w:rsidR="00CC28D3">
        <w:rPr>
          <w:rFonts w:ascii="Times New Roman" w:hAnsi="Times New Roman"/>
          <w:sz w:val="24"/>
        </w:rPr>
        <w:t xml:space="preserve"> s </w:t>
      </w:r>
      <w:r w:rsidRPr="00CC28D3">
        <w:rPr>
          <w:rFonts w:ascii="Times New Roman" w:hAnsi="Times New Roman"/>
          <w:sz w:val="24"/>
        </w:rPr>
        <w:t>ktorými sa zaobchádza podľa štandardizovaných prístupov: prístup SA-CCR</w:t>
      </w:r>
      <w:r w:rsidR="00CC28D3">
        <w:rPr>
          <w:rFonts w:ascii="Times New Roman" w:hAnsi="Times New Roman"/>
          <w:sz w:val="24"/>
        </w:rPr>
        <w:t xml:space="preserve"> a </w:t>
      </w:r>
      <w:r w:rsidRPr="00CC28D3">
        <w:rPr>
          <w:rFonts w:ascii="Times New Roman" w:hAnsi="Times New Roman"/>
          <w:sz w:val="24"/>
        </w:rPr>
        <w:t>zjednodušený prístup SA-CCR</w:t>
      </w:r>
      <w:bookmarkEnd w:id="28"/>
      <w:bookmarkEnd w:id="29"/>
    </w:p>
    <w:p w14:paraId="25A32DCA"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sidRPr="00CC28D3">
        <w:rPr>
          <w:rFonts w:ascii="Times New Roman" w:hAnsi="Times New Roman"/>
          <w:sz w:val="24"/>
        </w:rPr>
        <w:t>Všeobecné poznámky</w:t>
      </w:r>
      <w:bookmarkEnd w:id="30"/>
      <w:bookmarkEnd w:id="31"/>
    </w:p>
    <w:p w14:paraId="00205649" w14:textId="08D8CDD1"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125</w:t>
      </w:r>
      <w:r w:rsidRPr="00CC28D3">
        <w:fldChar w:fldCharType="end"/>
      </w:r>
      <w:r w:rsidRPr="00CC28D3">
        <w:t>. Vzor sa používa samostatne na vykazovanie expozícií voči CCR, ktoré sa vypočítavajú podľa prístupu SA-CCR alebo prípadne podľa zjednodušeného prístupu SA-CCR.</w:t>
      </w:r>
    </w:p>
    <w:p w14:paraId="739ACEF6"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sidRPr="00CC28D3">
        <w:rPr>
          <w:rFonts w:ascii="Times New Roman" w:hAnsi="Times New Roman"/>
          <w:sz w:val="24"/>
        </w:rPr>
        <w:t>Pokyny týkajúce sa konkrétnych pozícií</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21AD3F40" w14:textId="77777777" w:rsidTr="00822842">
        <w:trPr>
          <w:trHeight w:val="717"/>
        </w:trPr>
        <w:tc>
          <w:tcPr>
            <w:tcW w:w="9039" w:type="dxa"/>
            <w:gridSpan w:val="2"/>
            <w:shd w:val="clear" w:color="auto" w:fill="D9D9D9" w:themeFill="background1" w:themeFillShade="D9"/>
          </w:tcPr>
          <w:p w14:paraId="1502A629" w14:textId="77777777" w:rsidR="00EF74C7" w:rsidRPr="00CC28D3" w:rsidRDefault="00EF74C7" w:rsidP="00822842">
            <w:pPr>
              <w:autoSpaceDE w:val="0"/>
              <w:autoSpaceDN w:val="0"/>
              <w:adjustRightInd w:val="0"/>
              <w:rPr>
                <w:rFonts w:ascii="Times New Roman" w:hAnsi="Times New Roman"/>
                <w:b/>
                <w:sz w:val="24"/>
              </w:rPr>
            </w:pPr>
            <w:r w:rsidRPr="00CC28D3">
              <w:rPr>
                <w:rFonts w:ascii="Times New Roman" w:hAnsi="Times New Roman"/>
                <w:b/>
                <w:sz w:val="24"/>
              </w:rPr>
              <w:t>Stĺpce</w:t>
            </w:r>
          </w:p>
        </w:tc>
      </w:tr>
      <w:tr w:rsidR="00EF74C7" w:rsidRPr="00CC28D3" w14:paraId="672D2ACD" w14:textId="77777777" w:rsidTr="00822842">
        <w:trPr>
          <w:trHeight w:val="680"/>
        </w:trPr>
        <w:tc>
          <w:tcPr>
            <w:tcW w:w="1384" w:type="dxa"/>
          </w:tcPr>
          <w:p w14:paraId="0E603140" w14:textId="77777777" w:rsidR="00EF74C7" w:rsidRPr="00CC28D3" w:rsidRDefault="00EF74C7" w:rsidP="00822842">
            <w:pPr>
              <w:pStyle w:val="Applicationdirecte"/>
              <w:spacing w:before="0" w:after="0"/>
            </w:pPr>
            <w:r w:rsidRPr="00CC28D3">
              <w:t>0010</w:t>
            </w:r>
          </w:p>
        </w:tc>
        <w:tc>
          <w:tcPr>
            <w:tcW w:w="7655" w:type="dxa"/>
            <w:vAlign w:val="center"/>
          </w:tcPr>
          <w:p w14:paraId="1B4E242B" w14:textId="77777777" w:rsidR="00EF74C7" w:rsidRPr="00CC28D3" w:rsidRDefault="00EF74C7" w:rsidP="00822842">
            <w:pPr>
              <w:keepNext/>
              <w:spacing w:before="60"/>
              <w:rPr>
                <w:rFonts w:ascii="Times New Roman" w:hAnsi="Times New Roman"/>
                <w:sz w:val="24"/>
              </w:rPr>
            </w:pPr>
            <w:r w:rsidRPr="00CC28D3">
              <w:rPr>
                <w:rStyle w:val="InstructionsTabelleberschrift"/>
                <w:rFonts w:ascii="Times New Roman" w:hAnsi="Times New Roman"/>
                <w:sz w:val="24"/>
              </w:rPr>
              <w:t>MENA</w:t>
            </w:r>
          </w:p>
          <w:p w14:paraId="1FCE36C7"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Pri transakciách zaradených do kategórie úrokového rizika sa vykazuje mena denominácie transakcie.</w:t>
            </w:r>
          </w:p>
          <w:p w14:paraId="5EF89F26" w14:textId="21B3A269" w:rsidR="00CC28D3" w:rsidRDefault="00EF74C7" w:rsidP="00822842">
            <w:pPr>
              <w:keepNext/>
              <w:spacing w:before="60"/>
              <w:rPr>
                <w:rFonts w:ascii="Times New Roman" w:hAnsi="Times New Roman"/>
                <w:sz w:val="24"/>
              </w:rPr>
            </w:pPr>
            <w:r w:rsidRPr="00CC28D3">
              <w:rPr>
                <w:rFonts w:ascii="Times New Roman" w:hAnsi="Times New Roman"/>
                <w:sz w:val="24"/>
              </w:rPr>
              <w:t>Pri transakciách zaradených do kategórie devízového rizika sa vykazuje mena denominácie jednej</w:t>
            </w:r>
            <w:r w:rsidR="00CC28D3">
              <w:rPr>
                <w:rFonts w:ascii="Times New Roman" w:hAnsi="Times New Roman"/>
                <w:sz w:val="24"/>
              </w:rPr>
              <w:t xml:space="preserve"> z </w:t>
            </w:r>
            <w:r w:rsidRPr="00CC28D3">
              <w:rPr>
                <w:rFonts w:ascii="Times New Roman" w:hAnsi="Times New Roman"/>
                <w:sz w:val="24"/>
              </w:rPr>
              <w:t>dvoch častí transakcie. Inštitúcie uvádzajú meny</w:t>
            </w:r>
            <w:r w:rsidR="00CC28D3">
              <w:rPr>
                <w:rFonts w:ascii="Times New Roman" w:hAnsi="Times New Roman"/>
                <w:sz w:val="24"/>
              </w:rPr>
              <w:t xml:space="preserve"> v </w:t>
            </w:r>
            <w:r w:rsidRPr="00CC28D3">
              <w:rPr>
                <w:rFonts w:ascii="Times New Roman" w:hAnsi="Times New Roman"/>
                <w:sz w:val="24"/>
              </w:rPr>
              <w:t>rámci menového páru</w:t>
            </w:r>
            <w:r w:rsidR="00CC28D3">
              <w:rPr>
                <w:rFonts w:ascii="Times New Roman" w:hAnsi="Times New Roman"/>
                <w:sz w:val="24"/>
              </w:rPr>
              <w:t xml:space="preserve"> v </w:t>
            </w:r>
            <w:r w:rsidRPr="00CC28D3">
              <w:rPr>
                <w:rFonts w:ascii="Times New Roman" w:hAnsi="Times New Roman"/>
                <w:sz w:val="24"/>
              </w:rPr>
              <w:t>abecednom poradí, napr.</w:t>
            </w:r>
            <w:r w:rsidR="00CC28D3">
              <w:rPr>
                <w:rFonts w:ascii="Times New Roman" w:hAnsi="Times New Roman"/>
                <w:sz w:val="24"/>
              </w:rPr>
              <w:t xml:space="preserve"> v </w:t>
            </w:r>
            <w:r w:rsidRPr="00CC28D3">
              <w:rPr>
                <w:rFonts w:ascii="Times New Roman" w:hAnsi="Times New Roman"/>
                <w:sz w:val="24"/>
              </w:rPr>
              <w:t>prípade amerického dolára/eura sa</w:t>
            </w:r>
            <w:r w:rsidR="00CC28D3">
              <w:rPr>
                <w:rFonts w:ascii="Times New Roman" w:hAnsi="Times New Roman"/>
                <w:sz w:val="24"/>
              </w:rPr>
              <w:t xml:space="preserve"> v </w:t>
            </w:r>
            <w:r w:rsidRPr="00CC28D3">
              <w:rPr>
                <w:rFonts w:ascii="Times New Roman" w:hAnsi="Times New Roman"/>
                <w:sz w:val="24"/>
              </w:rPr>
              <w:t>tomto stĺpci uvádza EUR</w:t>
            </w:r>
            <w:r w:rsidR="00CC28D3">
              <w:rPr>
                <w:rFonts w:ascii="Times New Roman" w:hAnsi="Times New Roman"/>
                <w:sz w:val="24"/>
              </w:rPr>
              <w:t xml:space="preserve"> a v </w:t>
            </w:r>
            <w:r w:rsidRPr="00CC28D3">
              <w:rPr>
                <w:rFonts w:ascii="Times New Roman" w:hAnsi="Times New Roman"/>
                <w:sz w:val="24"/>
              </w:rPr>
              <w:t>stĺpci 0020 sa uvádza USD</w:t>
            </w:r>
            <w:r w:rsidR="00CC28D3">
              <w:rPr>
                <w:rFonts w:ascii="Times New Roman" w:hAnsi="Times New Roman"/>
                <w:sz w:val="24"/>
              </w:rPr>
              <w:t>.</w:t>
            </w:r>
          </w:p>
          <w:p w14:paraId="4B0703E4" w14:textId="05BDD748" w:rsidR="00EF74C7" w:rsidRPr="00CC28D3" w:rsidRDefault="00EF74C7" w:rsidP="00822842">
            <w:pPr>
              <w:keepNext/>
              <w:spacing w:before="60"/>
              <w:rPr>
                <w:rFonts w:ascii="Times New Roman" w:hAnsi="Times New Roman"/>
                <w:i/>
                <w:sz w:val="24"/>
              </w:rPr>
            </w:pPr>
            <w:r w:rsidRPr="00CC28D3">
              <w:rPr>
                <w:rFonts w:ascii="Times New Roman" w:hAnsi="Times New Roman"/>
                <w:sz w:val="24"/>
              </w:rPr>
              <w:t xml:space="preserve">Používajú sa </w:t>
            </w:r>
            <w:hyperlink r:id="rId10" w:history="1">
              <w:r w:rsidRPr="00CC28D3">
                <w:rPr>
                  <w:rFonts w:ascii="Times New Roman" w:hAnsi="Times New Roman"/>
                  <w:sz w:val="24"/>
                </w:rPr>
                <w:t>kódy mien podľa ISO</w:t>
              </w:r>
            </w:hyperlink>
            <w:r w:rsidRPr="00CC28D3">
              <w:rPr>
                <w:rFonts w:ascii="Times New Roman" w:hAnsi="Times New Roman"/>
                <w:sz w:val="24"/>
              </w:rPr>
              <w:t>.</w:t>
            </w:r>
          </w:p>
        </w:tc>
      </w:tr>
      <w:tr w:rsidR="00EF74C7" w:rsidRPr="00CC28D3" w14:paraId="5C5AF16A" w14:textId="77777777" w:rsidTr="00822842">
        <w:trPr>
          <w:trHeight w:val="680"/>
        </w:trPr>
        <w:tc>
          <w:tcPr>
            <w:tcW w:w="1384" w:type="dxa"/>
          </w:tcPr>
          <w:p w14:paraId="4ACFE6AB" w14:textId="77777777" w:rsidR="00EF74C7" w:rsidRPr="00CC28D3" w:rsidRDefault="00EF74C7" w:rsidP="00822842">
            <w:pPr>
              <w:pStyle w:val="Applicationdirecte"/>
              <w:spacing w:before="0" w:after="0"/>
            </w:pPr>
            <w:r w:rsidRPr="00CC28D3">
              <w:t>0020</w:t>
            </w:r>
          </w:p>
        </w:tc>
        <w:tc>
          <w:tcPr>
            <w:tcW w:w="7655" w:type="dxa"/>
            <w:vAlign w:val="center"/>
          </w:tcPr>
          <w:p w14:paraId="24D1130D" w14:textId="14CFECBB"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DRUHÁ MENA</w:t>
            </w:r>
            <w:r w:rsidR="00CC28D3">
              <w:rPr>
                <w:rStyle w:val="InstructionsTabelleberschrift"/>
                <w:rFonts w:ascii="Times New Roman" w:hAnsi="Times New Roman"/>
                <w:sz w:val="24"/>
              </w:rPr>
              <w:t xml:space="preserve"> V </w:t>
            </w:r>
            <w:r w:rsidRPr="00CC28D3">
              <w:rPr>
                <w:rStyle w:val="InstructionsTabelleberschrift"/>
                <w:rFonts w:ascii="Times New Roman" w:hAnsi="Times New Roman"/>
                <w:sz w:val="24"/>
              </w:rPr>
              <w:t>PÁRE</w:t>
            </w:r>
          </w:p>
          <w:p w14:paraId="03D4A6E7" w14:textId="223D8BEA" w:rsidR="00EF74C7" w:rsidRPr="00CC28D3" w:rsidRDefault="00EF74C7" w:rsidP="00822842">
            <w:pPr>
              <w:keepNext/>
              <w:spacing w:before="60"/>
              <w:rPr>
                <w:rFonts w:ascii="Times New Roman" w:hAnsi="Times New Roman"/>
                <w:sz w:val="24"/>
              </w:rPr>
            </w:pPr>
            <w:r w:rsidRPr="00CC28D3">
              <w:rPr>
                <w:rFonts w:ascii="Times New Roman" w:hAnsi="Times New Roman"/>
                <w:sz w:val="24"/>
              </w:rPr>
              <w:t>Pri transakciách zaradených do kategórie devízového rizika sa vykazuje mena denominácie druhej časti transakcie (vo vzťahu</w:t>
            </w:r>
            <w:r w:rsidR="00CC28D3">
              <w:rPr>
                <w:rFonts w:ascii="Times New Roman" w:hAnsi="Times New Roman"/>
                <w:sz w:val="24"/>
              </w:rPr>
              <w:t xml:space="preserve"> k </w:t>
            </w:r>
            <w:r w:rsidRPr="00CC28D3">
              <w:rPr>
                <w:rFonts w:ascii="Times New Roman" w:hAnsi="Times New Roman"/>
                <w:sz w:val="24"/>
              </w:rPr>
              <w:t>časti, ktorá sa zohľadnila</w:t>
            </w:r>
            <w:r w:rsidR="00CC28D3">
              <w:rPr>
                <w:rFonts w:ascii="Times New Roman" w:hAnsi="Times New Roman"/>
                <w:sz w:val="24"/>
              </w:rPr>
              <w:t xml:space="preserve"> v </w:t>
            </w:r>
            <w:r w:rsidRPr="00CC28D3">
              <w:rPr>
                <w:rFonts w:ascii="Times New Roman" w:hAnsi="Times New Roman"/>
                <w:sz w:val="24"/>
              </w:rPr>
              <w:t>stĺpci 0010). Inštitúcie uvádzajú meny</w:t>
            </w:r>
            <w:r w:rsidR="00CC28D3">
              <w:rPr>
                <w:rFonts w:ascii="Times New Roman" w:hAnsi="Times New Roman"/>
                <w:sz w:val="24"/>
              </w:rPr>
              <w:t xml:space="preserve"> v </w:t>
            </w:r>
            <w:r w:rsidRPr="00CC28D3">
              <w:rPr>
                <w:rFonts w:ascii="Times New Roman" w:hAnsi="Times New Roman"/>
                <w:sz w:val="24"/>
              </w:rPr>
              <w:t>rámci menového páru</w:t>
            </w:r>
            <w:r w:rsidR="00CC28D3">
              <w:rPr>
                <w:rFonts w:ascii="Times New Roman" w:hAnsi="Times New Roman"/>
                <w:sz w:val="24"/>
              </w:rPr>
              <w:t xml:space="preserve"> v </w:t>
            </w:r>
            <w:r w:rsidRPr="00CC28D3">
              <w:rPr>
                <w:rFonts w:ascii="Times New Roman" w:hAnsi="Times New Roman"/>
                <w:sz w:val="24"/>
              </w:rPr>
              <w:t>abecednom poradí, napr.</w:t>
            </w:r>
            <w:r w:rsidR="00CC28D3">
              <w:rPr>
                <w:rFonts w:ascii="Times New Roman" w:hAnsi="Times New Roman"/>
                <w:sz w:val="24"/>
              </w:rPr>
              <w:t xml:space="preserve"> v </w:t>
            </w:r>
            <w:r w:rsidRPr="00CC28D3">
              <w:rPr>
                <w:rFonts w:ascii="Times New Roman" w:hAnsi="Times New Roman"/>
                <w:sz w:val="24"/>
              </w:rPr>
              <w:t>prípade amerického dolára/eura sa</w:t>
            </w:r>
            <w:r w:rsidR="00CC28D3">
              <w:rPr>
                <w:rFonts w:ascii="Times New Roman" w:hAnsi="Times New Roman"/>
                <w:sz w:val="24"/>
              </w:rPr>
              <w:t xml:space="preserve"> v </w:t>
            </w:r>
            <w:r w:rsidRPr="00CC28D3">
              <w:rPr>
                <w:rFonts w:ascii="Times New Roman" w:hAnsi="Times New Roman"/>
                <w:sz w:val="24"/>
              </w:rPr>
              <w:t>tomto stĺpci uvádza USD</w:t>
            </w:r>
            <w:r w:rsidR="00CC28D3">
              <w:rPr>
                <w:rFonts w:ascii="Times New Roman" w:hAnsi="Times New Roman"/>
                <w:sz w:val="24"/>
              </w:rPr>
              <w:t xml:space="preserve"> a v </w:t>
            </w:r>
            <w:r w:rsidRPr="00CC28D3">
              <w:rPr>
                <w:rFonts w:ascii="Times New Roman" w:hAnsi="Times New Roman"/>
                <w:sz w:val="24"/>
              </w:rPr>
              <w:t>stĺpci 0010 sa uvádza EUR.</w:t>
            </w:r>
          </w:p>
          <w:p w14:paraId="1013A2D8" w14:textId="77777777" w:rsidR="00EF74C7" w:rsidRPr="00CC28D3" w:rsidRDefault="00EF74C7" w:rsidP="00822842">
            <w:pPr>
              <w:keepNext/>
              <w:spacing w:before="60"/>
              <w:rPr>
                <w:rFonts w:ascii="Times New Roman" w:hAnsi="Times New Roman"/>
                <w:i/>
                <w:sz w:val="24"/>
              </w:rPr>
            </w:pPr>
            <w:r w:rsidRPr="00CC28D3">
              <w:rPr>
                <w:rFonts w:ascii="Times New Roman" w:hAnsi="Times New Roman"/>
                <w:sz w:val="24"/>
              </w:rPr>
              <w:t xml:space="preserve">Používajú sa </w:t>
            </w:r>
            <w:hyperlink r:id="rId11" w:history="1">
              <w:r w:rsidRPr="00CC28D3">
                <w:rPr>
                  <w:rFonts w:ascii="Times New Roman" w:hAnsi="Times New Roman"/>
                  <w:sz w:val="24"/>
                </w:rPr>
                <w:t>kódy mien podľa ISO</w:t>
              </w:r>
            </w:hyperlink>
            <w:r w:rsidRPr="00CC28D3">
              <w:rPr>
                <w:rFonts w:ascii="Times New Roman" w:hAnsi="Times New Roman"/>
                <w:sz w:val="24"/>
              </w:rPr>
              <w:t>.</w:t>
            </w:r>
          </w:p>
        </w:tc>
      </w:tr>
      <w:tr w:rsidR="00EF74C7" w:rsidRPr="00CC28D3" w14:paraId="269AB735" w14:textId="77777777" w:rsidTr="00822842">
        <w:trPr>
          <w:trHeight w:val="680"/>
        </w:trPr>
        <w:tc>
          <w:tcPr>
            <w:tcW w:w="1384" w:type="dxa"/>
          </w:tcPr>
          <w:p w14:paraId="27EC4B26" w14:textId="77777777" w:rsidR="00EF74C7" w:rsidRPr="00CC28D3" w:rsidRDefault="00EF74C7" w:rsidP="00822842">
            <w:pPr>
              <w:pStyle w:val="Applicationdirecte"/>
              <w:spacing w:before="0" w:after="0"/>
            </w:pPr>
            <w:r w:rsidRPr="00CC28D3">
              <w:t>0030</w:t>
            </w:r>
          </w:p>
        </w:tc>
        <w:tc>
          <w:tcPr>
            <w:tcW w:w="7655" w:type="dxa"/>
            <w:vAlign w:val="center"/>
          </w:tcPr>
          <w:p w14:paraId="2F0BA9E7"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POČET TRANSAKCIÍ</w:t>
            </w:r>
          </w:p>
          <w:p w14:paraId="6D81C620" w14:textId="1AD1D93F" w:rsidR="00EF74C7" w:rsidRPr="00CC28D3" w:rsidRDefault="00EF74C7" w:rsidP="00822842">
            <w:pPr>
              <w:keepNext/>
              <w:spacing w:before="60"/>
              <w:rPr>
                <w:rFonts w:ascii="Times New Roman" w:hAnsi="Times New Roman"/>
                <w:i/>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0020 vo vzore C 34.02.</w:t>
            </w:r>
          </w:p>
        </w:tc>
      </w:tr>
      <w:tr w:rsidR="00EF74C7" w:rsidRPr="00CC28D3" w14:paraId="01ECDEDD" w14:textId="77777777" w:rsidTr="00822842">
        <w:trPr>
          <w:trHeight w:val="680"/>
        </w:trPr>
        <w:tc>
          <w:tcPr>
            <w:tcW w:w="1384" w:type="dxa"/>
          </w:tcPr>
          <w:p w14:paraId="18733037" w14:textId="77777777" w:rsidR="00EF74C7" w:rsidRPr="00CC28D3" w:rsidRDefault="00EF74C7" w:rsidP="00822842">
            <w:pPr>
              <w:pStyle w:val="Applicationdirecte"/>
              <w:spacing w:before="0" w:after="0"/>
            </w:pPr>
            <w:r w:rsidRPr="00CC28D3">
              <w:t>0040</w:t>
            </w:r>
          </w:p>
        </w:tc>
        <w:tc>
          <w:tcPr>
            <w:tcW w:w="7655" w:type="dxa"/>
            <w:vAlign w:val="center"/>
          </w:tcPr>
          <w:p w14:paraId="160D7E28"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POMYSELNÉ HODNOTY</w:t>
            </w:r>
          </w:p>
          <w:p w14:paraId="1EAD85A5" w14:textId="2210ECF2" w:rsidR="00EF74C7" w:rsidRPr="00CC28D3" w:rsidRDefault="00EF74C7" w:rsidP="00822842">
            <w:pPr>
              <w:keepNext/>
              <w:spacing w:before="60"/>
              <w:rPr>
                <w:rFonts w:ascii="Times New Roman" w:hAnsi="Times New Roman"/>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0030 vo vzore C 34.02.</w:t>
            </w:r>
          </w:p>
        </w:tc>
      </w:tr>
      <w:tr w:rsidR="00EF74C7" w:rsidRPr="00CC28D3" w14:paraId="3AC762E1" w14:textId="77777777" w:rsidTr="00822842">
        <w:trPr>
          <w:trHeight w:val="680"/>
        </w:trPr>
        <w:tc>
          <w:tcPr>
            <w:tcW w:w="1384" w:type="dxa"/>
          </w:tcPr>
          <w:p w14:paraId="772E888B" w14:textId="77777777" w:rsidR="00EF74C7" w:rsidRPr="00CC28D3" w:rsidRDefault="00EF74C7" w:rsidP="00822842">
            <w:pPr>
              <w:pStyle w:val="Applicationdirecte"/>
              <w:spacing w:before="0" w:after="0"/>
            </w:pPr>
            <w:r w:rsidRPr="00CC28D3">
              <w:t>0050</w:t>
            </w:r>
          </w:p>
        </w:tc>
        <w:tc>
          <w:tcPr>
            <w:tcW w:w="7655" w:type="dxa"/>
            <w:vAlign w:val="center"/>
          </w:tcPr>
          <w:p w14:paraId="4F39288B"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SÚČASNÁ TRHOVÁ HODNOTA (CMV), KLADNÁ</w:t>
            </w:r>
          </w:p>
          <w:p w14:paraId="5ED54A90" w14:textId="63A82BBD" w:rsidR="00EF74C7" w:rsidRPr="00CC28D3" w:rsidRDefault="00EF74C7" w:rsidP="00822842">
            <w:pPr>
              <w:keepNext/>
              <w:spacing w:before="60"/>
              <w:rPr>
                <w:rFonts w:ascii="Times New Roman" w:hAnsi="Times New Roman"/>
                <w:sz w:val="24"/>
              </w:rPr>
            </w:pPr>
            <w:r w:rsidRPr="00CC28D3">
              <w:rPr>
                <w:rFonts w:ascii="Times New Roman" w:hAnsi="Times New Roman"/>
                <w:sz w:val="24"/>
              </w:rPr>
              <w:t xml:space="preserve">Súčet súčasných trhových hodnôt (CMV) všetkých </w:t>
            </w:r>
            <w:proofErr w:type="spellStart"/>
            <w:r w:rsidRPr="00CC28D3">
              <w:rPr>
                <w:rFonts w:ascii="Times New Roman" w:hAnsi="Times New Roman"/>
                <w:sz w:val="24"/>
              </w:rPr>
              <w:t>hedžovacích</w:t>
            </w:r>
            <w:proofErr w:type="spellEnd"/>
            <w:r w:rsidRPr="00CC28D3">
              <w:rPr>
                <w:rFonts w:ascii="Times New Roman" w:hAnsi="Times New Roman"/>
                <w:sz w:val="24"/>
              </w:rPr>
              <w:t xml:space="preserve"> súborov</w:t>
            </w:r>
            <w:r w:rsidR="00CC28D3">
              <w:rPr>
                <w:rFonts w:ascii="Times New Roman" w:hAnsi="Times New Roman"/>
                <w:sz w:val="24"/>
              </w:rPr>
              <w:t xml:space="preserve"> s </w:t>
            </w:r>
            <w:r w:rsidRPr="00CC28D3">
              <w:rPr>
                <w:rFonts w:ascii="Times New Roman" w:hAnsi="Times New Roman"/>
                <w:sz w:val="24"/>
              </w:rPr>
              <w:t>kladnou CMV</w:t>
            </w:r>
            <w:r w:rsidR="00CC28D3">
              <w:rPr>
                <w:rFonts w:ascii="Times New Roman" w:hAnsi="Times New Roman"/>
                <w:sz w:val="24"/>
              </w:rPr>
              <w:t xml:space="preserve"> v </w:t>
            </w:r>
            <w:r w:rsidRPr="00CC28D3">
              <w:rPr>
                <w:rFonts w:ascii="Times New Roman" w:hAnsi="Times New Roman"/>
                <w:sz w:val="24"/>
              </w:rPr>
              <w:t>príslušnej kategórii rizika.</w:t>
            </w:r>
          </w:p>
          <w:p w14:paraId="379A6FFF" w14:textId="1D2BD390" w:rsidR="00EF74C7" w:rsidRPr="00CC28D3" w:rsidRDefault="00EF74C7" w:rsidP="00822842">
            <w:pPr>
              <w:keepNext/>
              <w:spacing w:before="60"/>
              <w:rPr>
                <w:rFonts w:ascii="Times New Roman" w:hAnsi="Times New Roman"/>
                <w:sz w:val="24"/>
              </w:rPr>
            </w:pPr>
            <w:r w:rsidRPr="00CC28D3">
              <w:rPr>
                <w:rFonts w:ascii="Times New Roman" w:hAnsi="Times New Roman"/>
                <w:sz w:val="24"/>
              </w:rPr>
              <w:t xml:space="preserve">Súčasná trhová hodnota na úrovni </w:t>
            </w:r>
            <w:proofErr w:type="spellStart"/>
            <w:r w:rsidRPr="00CC28D3">
              <w:rPr>
                <w:rFonts w:ascii="Times New Roman" w:hAnsi="Times New Roman"/>
                <w:sz w:val="24"/>
              </w:rPr>
              <w:t>hedžovacieho</w:t>
            </w:r>
            <w:proofErr w:type="spellEnd"/>
            <w:r w:rsidRPr="00CC28D3">
              <w:rPr>
                <w:rFonts w:ascii="Times New Roman" w:hAnsi="Times New Roman"/>
                <w:sz w:val="24"/>
              </w:rPr>
              <w:t xml:space="preserve"> súboru sa určuje vzájomným započítaním kladných</w:t>
            </w:r>
            <w:r w:rsidR="00CC28D3">
              <w:rPr>
                <w:rFonts w:ascii="Times New Roman" w:hAnsi="Times New Roman"/>
                <w:sz w:val="24"/>
              </w:rPr>
              <w:t xml:space="preserve"> a </w:t>
            </w:r>
            <w:r w:rsidRPr="00CC28D3">
              <w:rPr>
                <w:rFonts w:ascii="Times New Roman" w:hAnsi="Times New Roman"/>
                <w:sz w:val="24"/>
              </w:rPr>
              <w:t>záporných trhových hodnôt transakcií</w:t>
            </w:r>
            <w:r w:rsidR="00CC28D3">
              <w:rPr>
                <w:rFonts w:ascii="Times New Roman" w:hAnsi="Times New Roman"/>
                <w:sz w:val="24"/>
              </w:rPr>
              <w:t xml:space="preserve"> v </w:t>
            </w:r>
            <w:r w:rsidRPr="00CC28D3">
              <w:rPr>
                <w:rFonts w:ascii="Times New Roman" w:hAnsi="Times New Roman"/>
                <w:sz w:val="24"/>
              </w:rPr>
              <w:t xml:space="preserve">rámci jedného </w:t>
            </w:r>
            <w:proofErr w:type="spellStart"/>
            <w:r w:rsidRPr="00CC28D3">
              <w:rPr>
                <w:rFonts w:ascii="Times New Roman" w:hAnsi="Times New Roman"/>
                <w:sz w:val="24"/>
              </w:rPr>
              <w:t>hedžovacieho</w:t>
            </w:r>
            <w:proofErr w:type="spellEnd"/>
            <w:r w:rsidRPr="00CC28D3">
              <w:rPr>
                <w:rFonts w:ascii="Times New Roman" w:hAnsi="Times New Roman"/>
                <w:sz w:val="24"/>
              </w:rPr>
              <w:t xml:space="preserve"> súboru bez odpočítania akéhokoľvek držaného alebo poskytnutého kolaterálu.</w:t>
            </w:r>
          </w:p>
        </w:tc>
      </w:tr>
      <w:tr w:rsidR="00EF74C7" w:rsidRPr="00CC28D3" w14:paraId="08BA8DB4" w14:textId="77777777" w:rsidTr="00822842">
        <w:trPr>
          <w:trHeight w:val="680"/>
        </w:trPr>
        <w:tc>
          <w:tcPr>
            <w:tcW w:w="1384" w:type="dxa"/>
          </w:tcPr>
          <w:p w14:paraId="0E291208" w14:textId="77777777" w:rsidR="00EF74C7" w:rsidRPr="00CC28D3" w:rsidRDefault="00EF74C7" w:rsidP="00822842">
            <w:pPr>
              <w:pStyle w:val="Applicationdirecte"/>
              <w:spacing w:before="0" w:after="0"/>
            </w:pPr>
            <w:r w:rsidRPr="00CC28D3">
              <w:lastRenderedPageBreak/>
              <w:t>0060</w:t>
            </w:r>
          </w:p>
        </w:tc>
        <w:tc>
          <w:tcPr>
            <w:tcW w:w="7655" w:type="dxa"/>
            <w:vAlign w:val="center"/>
          </w:tcPr>
          <w:p w14:paraId="58A56A89"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SÚČASNÁ TRHOVÁ HODNOTA (CMV), ZÁPORNÁ</w:t>
            </w:r>
          </w:p>
          <w:p w14:paraId="5CF4FB5C" w14:textId="6F3508A8" w:rsidR="00EF74C7" w:rsidRPr="00CC28D3" w:rsidRDefault="00EF74C7" w:rsidP="00822842">
            <w:pPr>
              <w:keepNext/>
              <w:spacing w:before="60"/>
              <w:rPr>
                <w:rFonts w:ascii="Times New Roman" w:hAnsi="Times New Roman"/>
                <w:sz w:val="24"/>
              </w:rPr>
            </w:pPr>
            <w:r w:rsidRPr="00CC28D3">
              <w:rPr>
                <w:rFonts w:ascii="Times New Roman" w:hAnsi="Times New Roman"/>
                <w:sz w:val="24"/>
              </w:rPr>
              <w:t xml:space="preserve">Súčet absolútnych súčasných trhových hodnôt (CMV) všetkých </w:t>
            </w:r>
            <w:proofErr w:type="spellStart"/>
            <w:r w:rsidRPr="00CC28D3">
              <w:rPr>
                <w:rFonts w:ascii="Times New Roman" w:hAnsi="Times New Roman"/>
                <w:sz w:val="24"/>
              </w:rPr>
              <w:t>hedžovacích</w:t>
            </w:r>
            <w:proofErr w:type="spellEnd"/>
            <w:r w:rsidRPr="00CC28D3">
              <w:rPr>
                <w:rFonts w:ascii="Times New Roman" w:hAnsi="Times New Roman"/>
                <w:sz w:val="24"/>
              </w:rPr>
              <w:t xml:space="preserve"> súborov so zápornou CMV</w:t>
            </w:r>
            <w:r w:rsidR="00CC28D3">
              <w:rPr>
                <w:rFonts w:ascii="Times New Roman" w:hAnsi="Times New Roman"/>
                <w:sz w:val="24"/>
              </w:rPr>
              <w:t xml:space="preserve"> v </w:t>
            </w:r>
            <w:r w:rsidRPr="00CC28D3">
              <w:rPr>
                <w:rFonts w:ascii="Times New Roman" w:hAnsi="Times New Roman"/>
                <w:sz w:val="24"/>
              </w:rPr>
              <w:t>príslušnej kategórii rizika.</w:t>
            </w:r>
          </w:p>
          <w:p w14:paraId="3D5BE059" w14:textId="3C2A8F20" w:rsidR="00EF74C7" w:rsidRPr="00CC28D3" w:rsidRDefault="00EF74C7" w:rsidP="00822842">
            <w:pPr>
              <w:keepNext/>
              <w:spacing w:before="60"/>
              <w:rPr>
                <w:rStyle w:val="InstructionsTabelleberschrift"/>
                <w:rFonts w:ascii="Times New Roman" w:hAnsi="Times New Roman"/>
                <w:sz w:val="24"/>
              </w:rPr>
            </w:pPr>
            <w:r w:rsidRPr="00CC28D3">
              <w:rPr>
                <w:rFonts w:ascii="Times New Roman" w:hAnsi="Times New Roman"/>
                <w:sz w:val="24"/>
              </w:rPr>
              <w:t xml:space="preserve">Súčasná trhová hodnota na úrovni </w:t>
            </w:r>
            <w:proofErr w:type="spellStart"/>
            <w:r w:rsidRPr="00CC28D3">
              <w:rPr>
                <w:rFonts w:ascii="Times New Roman" w:hAnsi="Times New Roman"/>
                <w:sz w:val="24"/>
              </w:rPr>
              <w:t>hedžovacieho</w:t>
            </w:r>
            <w:proofErr w:type="spellEnd"/>
            <w:r w:rsidRPr="00CC28D3">
              <w:rPr>
                <w:rFonts w:ascii="Times New Roman" w:hAnsi="Times New Roman"/>
                <w:sz w:val="24"/>
              </w:rPr>
              <w:t xml:space="preserve"> súboru sa určuje vzájomným započítaním kladných</w:t>
            </w:r>
            <w:r w:rsidR="00CC28D3">
              <w:rPr>
                <w:rFonts w:ascii="Times New Roman" w:hAnsi="Times New Roman"/>
                <w:sz w:val="24"/>
              </w:rPr>
              <w:t xml:space="preserve"> a </w:t>
            </w:r>
            <w:r w:rsidRPr="00CC28D3">
              <w:rPr>
                <w:rFonts w:ascii="Times New Roman" w:hAnsi="Times New Roman"/>
                <w:sz w:val="24"/>
              </w:rPr>
              <w:t>záporných trhových hodnôt transakcií</w:t>
            </w:r>
            <w:r w:rsidR="00CC28D3">
              <w:rPr>
                <w:rFonts w:ascii="Times New Roman" w:hAnsi="Times New Roman"/>
                <w:sz w:val="24"/>
              </w:rPr>
              <w:t xml:space="preserve"> v </w:t>
            </w:r>
            <w:r w:rsidRPr="00CC28D3">
              <w:rPr>
                <w:rFonts w:ascii="Times New Roman" w:hAnsi="Times New Roman"/>
                <w:sz w:val="24"/>
              </w:rPr>
              <w:t xml:space="preserve">rámci jedného </w:t>
            </w:r>
            <w:proofErr w:type="spellStart"/>
            <w:r w:rsidRPr="00CC28D3">
              <w:rPr>
                <w:rFonts w:ascii="Times New Roman" w:hAnsi="Times New Roman"/>
                <w:sz w:val="24"/>
              </w:rPr>
              <w:t>hedžovacieho</w:t>
            </w:r>
            <w:proofErr w:type="spellEnd"/>
            <w:r w:rsidRPr="00CC28D3">
              <w:rPr>
                <w:rFonts w:ascii="Times New Roman" w:hAnsi="Times New Roman"/>
                <w:sz w:val="24"/>
              </w:rPr>
              <w:t xml:space="preserve"> súboru bez odpočítania akéhokoľvek držaného alebo poskytnutého kolaterálu.</w:t>
            </w:r>
          </w:p>
        </w:tc>
      </w:tr>
      <w:tr w:rsidR="00EF74C7" w:rsidRPr="00CC28D3" w14:paraId="345E1772" w14:textId="77777777" w:rsidTr="00822842">
        <w:trPr>
          <w:trHeight w:val="680"/>
        </w:trPr>
        <w:tc>
          <w:tcPr>
            <w:tcW w:w="1384" w:type="dxa"/>
          </w:tcPr>
          <w:p w14:paraId="77DADDEC" w14:textId="77777777" w:rsidR="00EF74C7" w:rsidRPr="00CC28D3" w:rsidRDefault="00EF74C7" w:rsidP="00822842">
            <w:pPr>
              <w:pStyle w:val="Applicationdirecte"/>
              <w:spacing w:before="0" w:after="0"/>
            </w:pPr>
            <w:r w:rsidRPr="00CC28D3">
              <w:t>0070</w:t>
            </w:r>
          </w:p>
        </w:tc>
        <w:tc>
          <w:tcPr>
            <w:tcW w:w="7655" w:type="dxa"/>
            <w:vAlign w:val="center"/>
          </w:tcPr>
          <w:p w14:paraId="32B9337D" w14:textId="77777777" w:rsidR="00CC28D3" w:rsidRDefault="00EF74C7" w:rsidP="00822842">
            <w:pPr>
              <w:keepNext/>
              <w:spacing w:before="60"/>
              <w:rPr>
                <w:rFonts w:ascii="Times New Roman" w:hAnsi="Times New Roman"/>
                <w:sz w:val="24"/>
              </w:rPr>
            </w:pPr>
            <w:r w:rsidRPr="00CC28D3">
              <w:rPr>
                <w:rStyle w:val="InstructionsTabelleberschrift"/>
                <w:rFonts w:ascii="Times New Roman" w:hAnsi="Times New Roman"/>
                <w:sz w:val="24"/>
              </w:rPr>
              <w:t>DODATOČNÁ HODNOTA</w:t>
            </w:r>
          </w:p>
          <w:p w14:paraId="39E215C5" w14:textId="15676304" w:rsidR="00EF74C7" w:rsidRPr="00CC28D3" w:rsidRDefault="00EF74C7" w:rsidP="00822842">
            <w:pPr>
              <w:keepNext/>
              <w:spacing w:before="60"/>
              <w:rPr>
                <w:rFonts w:ascii="Times New Roman" w:hAnsi="Times New Roman"/>
                <w:sz w:val="24"/>
              </w:rPr>
            </w:pPr>
            <w:r w:rsidRPr="00CC28D3">
              <w:rPr>
                <w:rFonts w:ascii="Times New Roman" w:hAnsi="Times New Roman"/>
                <w:sz w:val="24"/>
              </w:rPr>
              <w:t>Články 280a až 280f</w:t>
            </w:r>
            <w:r w:rsidR="00CC28D3">
              <w:rPr>
                <w:rFonts w:ascii="Times New Roman" w:hAnsi="Times New Roman"/>
                <w:sz w:val="24"/>
              </w:rPr>
              <w:t xml:space="preserve"> a </w:t>
            </w:r>
            <w:r w:rsidRPr="00CC28D3">
              <w:rPr>
                <w:rFonts w:ascii="Times New Roman" w:hAnsi="Times New Roman"/>
                <w:sz w:val="24"/>
              </w:rPr>
              <w:t xml:space="preserve">článok 281 ods. 2 nariadenia (EÚ) </w:t>
            </w:r>
            <w:r w:rsidR="00CC28D3">
              <w:rPr>
                <w:rFonts w:ascii="Times New Roman" w:hAnsi="Times New Roman"/>
                <w:sz w:val="24"/>
              </w:rPr>
              <w:t>č. </w:t>
            </w:r>
            <w:r w:rsidRPr="00CC28D3">
              <w:rPr>
                <w:rFonts w:ascii="Times New Roman" w:hAnsi="Times New Roman"/>
                <w:sz w:val="24"/>
              </w:rPr>
              <w:t>575/2013</w:t>
            </w:r>
          </w:p>
          <w:p w14:paraId="747FFA8E" w14:textId="60B4DBEE" w:rsidR="00CC28D3" w:rsidRDefault="00EF74C7" w:rsidP="00822842">
            <w:pPr>
              <w:keepNext/>
              <w:spacing w:before="60"/>
              <w:rPr>
                <w:rFonts w:ascii="Times New Roman" w:hAnsi="Times New Roman"/>
                <w:sz w:val="24"/>
              </w:rPr>
            </w:pPr>
            <w:r w:rsidRPr="00CC28D3">
              <w:rPr>
                <w:rFonts w:ascii="Times New Roman" w:hAnsi="Times New Roman"/>
                <w:sz w:val="24"/>
              </w:rPr>
              <w:t>Inštitúcia vykazuje súčet všetkých dodatočných hodnôt</w:t>
            </w:r>
            <w:r w:rsidR="00CC28D3">
              <w:rPr>
                <w:rFonts w:ascii="Times New Roman" w:hAnsi="Times New Roman"/>
                <w:sz w:val="24"/>
              </w:rPr>
              <w:t xml:space="preserve"> v </w:t>
            </w:r>
            <w:r w:rsidRPr="00CC28D3">
              <w:rPr>
                <w:rFonts w:ascii="Times New Roman" w:hAnsi="Times New Roman"/>
                <w:sz w:val="24"/>
              </w:rPr>
              <w:t xml:space="preserve">príslušnom </w:t>
            </w:r>
            <w:proofErr w:type="spellStart"/>
            <w:r w:rsidRPr="00CC28D3">
              <w:rPr>
                <w:rFonts w:ascii="Times New Roman" w:hAnsi="Times New Roman"/>
                <w:sz w:val="24"/>
              </w:rPr>
              <w:t>hedžovacom</w:t>
            </w:r>
            <w:proofErr w:type="spellEnd"/>
            <w:r w:rsidRPr="00CC28D3">
              <w:rPr>
                <w:rFonts w:ascii="Times New Roman" w:hAnsi="Times New Roman"/>
                <w:sz w:val="24"/>
              </w:rPr>
              <w:t xml:space="preserve"> súbore/príslušnej kategórii rizika</w:t>
            </w:r>
            <w:r w:rsidR="00CC28D3">
              <w:rPr>
                <w:rFonts w:ascii="Times New Roman" w:hAnsi="Times New Roman"/>
                <w:sz w:val="24"/>
              </w:rPr>
              <w:t>.</w:t>
            </w:r>
          </w:p>
          <w:p w14:paraId="48AD1DD4" w14:textId="17048C3A" w:rsidR="00EF74C7" w:rsidRPr="00CC28D3" w:rsidRDefault="00EF74C7" w:rsidP="00822842">
            <w:pPr>
              <w:keepNext/>
              <w:spacing w:before="60"/>
              <w:rPr>
                <w:rFonts w:ascii="Times New Roman" w:hAnsi="Times New Roman"/>
                <w:sz w:val="24"/>
              </w:rPr>
            </w:pPr>
            <w:r w:rsidRPr="00CC28D3">
              <w:rPr>
                <w:rFonts w:ascii="Times New Roman" w:hAnsi="Times New Roman"/>
                <w:sz w:val="24"/>
              </w:rPr>
              <w:t>Dodatočná hodnota jednotlivých kategórií rizika, ktorá sa používa na určenie potenciálnej budúcej expozície súboru vzájomného započítavania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článkom 278 ods. 1 alebo</w:t>
            </w:r>
            <w:r w:rsidR="00CC28D3">
              <w:rPr>
                <w:rFonts w:ascii="Times New Roman" w:hAnsi="Times New Roman"/>
                <w:sz w:val="24"/>
              </w:rPr>
              <w:t xml:space="preserve"> s </w:t>
            </w:r>
            <w:r w:rsidRPr="00CC28D3">
              <w:rPr>
                <w:rFonts w:ascii="Times New Roman" w:hAnsi="Times New Roman"/>
                <w:sz w:val="24"/>
              </w:rPr>
              <w:t xml:space="preserve">článkom 281 ods. 2 písm. f) nariadenia (EÚ) </w:t>
            </w:r>
            <w:r w:rsidR="00CC28D3">
              <w:rPr>
                <w:rFonts w:ascii="Times New Roman" w:hAnsi="Times New Roman"/>
                <w:sz w:val="24"/>
              </w:rPr>
              <w:t>č. </w:t>
            </w:r>
            <w:r w:rsidRPr="00CC28D3">
              <w:rPr>
                <w:rFonts w:ascii="Times New Roman" w:hAnsi="Times New Roman"/>
                <w:sz w:val="24"/>
              </w:rPr>
              <w:t>575/2013, sa vypočítava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článkami 280a až 280f uvedeného nariadenia. Pri zjednodušenom prístupe SA-CCR sa uplatňujú ustanovenia uvedené</w:t>
            </w:r>
            <w:r w:rsidR="00CC28D3">
              <w:rPr>
                <w:rFonts w:ascii="Times New Roman" w:hAnsi="Times New Roman"/>
                <w:sz w:val="24"/>
              </w:rPr>
              <w:t xml:space="preserve"> v </w:t>
            </w:r>
            <w:r w:rsidRPr="00CC28D3">
              <w:rPr>
                <w:rFonts w:ascii="Times New Roman" w:hAnsi="Times New Roman"/>
                <w:sz w:val="24"/>
              </w:rPr>
              <w:t xml:space="preserve">článku 281 ods. 2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2456F0C5" w14:textId="77777777" w:rsidTr="00822842">
        <w:trPr>
          <w:trHeight w:val="680"/>
        </w:trPr>
        <w:tc>
          <w:tcPr>
            <w:tcW w:w="9039" w:type="dxa"/>
            <w:gridSpan w:val="2"/>
            <w:tcBorders>
              <w:left w:val="nil"/>
              <w:right w:val="nil"/>
            </w:tcBorders>
          </w:tcPr>
          <w:p w14:paraId="18B64A8E" w14:textId="77777777" w:rsidR="00EF74C7" w:rsidRPr="00CC28D3" w:rsidDel="00DF07F8" w:rsidRDefault="00EF74C7" w:rsidP="00822842">
            <w:pPr>
              <w:keepNext/>
              <w:spacing w:before="60"/>
              <w:rPr>
                <w:rFonts w:ascii="Times New Roman" w:hAnsi="Times New Roman"/>
                <w:i/>
                <w:szCs w:val="22"/>
                <w:lang w:eastAsia="en-CA"/>
              </w:rPr>
            </w:pPr>
          </w:p>
        </w:tc>
      </w:tr>
      <w:tr w:rsidR="00EF74C7" w:rsidRPr="00CC28D3"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CC28D3" w:rsidRDefault="00EF74C7" w:rsidP="00822842">
            <w:pPr>
              <w:pStyle w:val="Applicationdirecte"/>
              <w:spacing w:before="0"/>
              <w:jc w:val="left"/>
              <w:rPr>
                <w:b/>
              </w:rPr>
            </w:pPr>
            <w:r w:rsidRPr="00CC28D3">
              <w:rPr>
                <w:b/>
              </w:rPr>
              <w:t xml:space="preserve">Riadky </w:t>
            </w:r>
          </w:p>
        </w:tc>
      </w:tr>
      <w:tr w:rsidR="00EF74C7" w:rsidRPr="00CC28D3" w14:paraId="3248D686" w14:textId="77777777" w:rsidTr="00822842">
        <w:trPr>
          <w:trHeight w:val="680"/>
        </w:trPr>
        <w:tc>
          <w:tcPr>
            <w:tcW w:w="1384" w:type="dxa"/>
          </w:tcPr>
          <w:p w14:paraId="402A723E" w14:textId="77777777" w:rsidR="00EF74C7" w:rsidRPr="00CC28D3" w:rsidRDefault="00EF74C7" w:rsidP="00822842">
            <w:pPr>
              <w:pStyle w:val="Applicationdirecte"/>
              <w:spacing w:before="0" w:after="0"/>
            </w:pPr>
            <w:r w:rsidRPr="00CC28D3">
              <w:t>0050, 0120, 0190, 0230, 0270, 0340</w:t>
            </w:r>
          </w:p>
        </w:tc>
        <w:tc>
          <w:tcPr>
            <w:tcW w:w="7655" w:type="dxa"/>
          </w:tcPr>
          <w:p w14:paraId="376D7ACF"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KATEGÓRIE RIZIKA</w:t>
            </w:r>
          </w:p>
          <w:p w14:paraId="7E0D1935" w14:textId="05085A5B" w:rsidR="00EF74C7" w:rsidRPr="00CC28D3" w:rsidRDefault="00EF74C7" w:rsidP="00822842">
            <w:pPr>
              <w:keepNext/>
              <w:spacing w:before="60"/>
              <w:rPr>
                <w:rFonts w:ascii="Times New Roman" w:hAnsi="Times New Roman"/>
                <w:sz w:val="24"/>
              </w:rPr>
            </w:pPr>
            <w:r w:rsidRPr="00CC28D3">
              <w:rPr>
                <w:rFonts w:ascii="Times New Roman" w:hAnsi="Times New Roman"/>
                <w:sz w:val="24"/>
              </w:rPr>
              <w:t>Články 277</w:t>
            </w:r>
            <w:r w:rsidR="00CC28D3">
              <w:rPr>
                <w:rFonts w:ascii="Times New Roman" w:hAnsi="Times New Roman"/>
                <w:sz w:val="24"/>
              </w:rPr>
              <w:t xml:space="preserve"> a </w:t>
            </w:r>
            <w:r w:rsidRPr="00CC28D3">
              <w:rPr>
                <w:rFonts w:ascii="Times New Roman" w:hAnsi="Times New Roman"/>
                <w:sz w:val="24"/>
              </w:rPr>
              <w:t xml:space="preserve">277a nariadenia (EÚ) </w:t>
            </w:r>
            <w:r w:rsidR="00CC28D3">
              <w:rPr>
                <w:rFonts w:ascii="Times New Roman" w:hAnsi="Times New Roman"/>
                <w:sz w:val="24"/>
              </w:rPr>
              <w:t>č. </w:t>
            </w:r>
            <w:r w:rsidRPr="00CC28D3">
              <w:rPr>
                <w:rFonts w:ascii="Times New Roman" w:hAnsi="Times New Roman"/>
                <w:sz w:val="24"/>
              </w:rPr>
              <w:t>575/2013</w:t>
            </w:r>
          </w:p>
          <w:p w14:paraId="578D076E" w14:textId="223D6D03"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Transakcie sa klasifikujú podľa kategórie rizika, do ktorej patria,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277 ods. 1 až 4 nariadenia (EÚ) </w:t>
            </w:r>
            <w:r w:rsidR="00CC28D3">
              <w:rPr>
                <w:rFonts w:ascii="Times New Roman" w:hAnsi="Times New Roman"/>
                <w:sz w:val="24"/>
              </w:rPr>
              <w:t>č. </w:t>
            </w:r>
            <w:r w:rsidRPr="00CC28D3">
              <w:rPr>
                <w:rFonts w:ascii="Times New Roman" w:hAnsi="Times New Roman"/>
                <w:sz w:val="24"/>
              </w:rPr>
              <w:t>575/2013.</w:t>
            </w:r>
          </w:p>
          <w:p w14:paraId="5862E67E" w14:textId="7157EE4F" w:rsidR="00EF74C7" w:rsidRPr="00CC28D3" w:rsidRDefault="00EF74C7" w:rsidP="00822842">
            <w:pPr>
              <w:pStyle w:val="TableMainHeading"/>
              <w:spacing w:before="60"/>
              <w:jc w:val="both"/>
              <w:rPr>
                <w:rFonts w:ascii="Times New Roman" w:hAnsi="Times New Roman"/>
                <w:sz w:val="24"/>
              </w:rPr>
            </w:pPr>
            <w:r w:rsidRPr="00CC28D3">
              <w:rPr>
                <w:rFonts w:ascii="Times New Roman" w:hAnsi="Times New Roman"/>
                <w:sz w:val="24"/>
              </w:rPr>
              <w:t>Priraďovanie</w:t>
            </w:r>
            <w:r w:rsidR="00CC28D3">
              <w:rPr>
                <w:rFonts w:ascii="Times New Roman" w:hAnsi="Times New Roman"/>
                <w:sz w:val="24"/>
              </w:rPr>
              <w:t xml:space="preserve"> k </w:t>
            </w:r>
            <w:proofErr w:type="spellStart"/>
            <w:r w:rsidRPr="00CC28D3">
              <w:rPr>
                <w:rFonts w:ascii="Times New Roman" w:hAnsi="Times New Roman"/>
                <w:sz w:val="24"/>
              </w:rPr>
              <w:t>hedžovacím</w:t>
            </w:r>
            <w:proofErr w:type="spellEnd"/>
            <w:r w:rsidRPr="00CC28D3">
              <w:rPr>
                <w:rFonts w:ascii="Times New Roman" w:hAnsi="Times New Roman"/>
                <w:sz w:val="24"/>
              </w:rPr>
              <w:t xml:space="preserve"> súborom podľa kategórie rizika sa vykonáva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277a nariadenia (EÚ) </w:t>
            </w:r>
            <w:r w:rsidR="00CC28D3">
              <w:rPr>
                <w:rFonts w:ascii="Times New Roman" w:hAnsi="Times New Roman"/>
                <w:sz w:val="24"/>
              </w:rPr>
              <w:t>č. </w:t>
            </w:r>
            <w:r w:rsidRPr="00CC28D3">
              <w:rPr>
                <w:rFonts w:ascii="Times New Roman" w:hAnsi="Times New Roman"/>
                <w:sz w:val="24"/>
              </w:rPr>
              <w:t>575/2013.</w:t>
            </w:r>
          </w:p>
          <w:p w14:paraId="65316050" w14:textId="1E76C322" w:rsidR="00EF74C7" w:rsidRPr="00CC28D3" w:rsidRDefault="00EF74C7" w:rsidP="00822842">
            <w:pPr>
              <w:pStyle w:val="TableMainHeading"/>
              <w:spacing w:before="60"/>
              <w:jc w:val="both"/>
              <w:rPr>
                <w:rFonts w:ascii="Times New Roman" w:hAnsi="Times New Roman"/>
                <w:sz w:val="24"/>
              </w:rPr>
            </w:pPr>
            <w:r w:rsidRPr="00CC28D3">
              <w:rPr>
                <w:rFonts w:ascii="Times New Roman" w:hAnsi="Times New Roman"/>
                <w:sz w:val="24"/>
              </w:rPr>
              <w:t>Pri zjednodušenom prístupe SA-CCR sa uplatňujú ustanovenia uvedené</w:t>
            </w:r>
            <w:r w:rsidR="00CC28D3">
              <w:rPr>
                <w:rFonts w:ascii="Times New Roman" w:hAnsi="Times New Roman"/>
                <w:sz w:val="24"/>
              </w:rPr>
              <w:t xml:space="preserve"> v </w:t>
            </w:r>
            <w:r w:rsidRPr="00CC28D3">
              <w:rPr>
                <w:rFonts w:ascii="Times New Roman" w:hAnsi="Times New Roman"/>
                <w:sz w:val="24"/>
              </w:rPr>
              <w:t xml:space="preserve">článku 281 ods. 2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21933761" w14:textId="77777777" w:rsidTr="00822842">
        <w:trPr>
          <w:trHeight w:val="680"/>
        </w:trPr>
        <w:tc>
          <w:tcPr>
            <w:tcW w:w="1384" w:type="dxa"/>
          </w:tcPr>
          <w:p w14:paraId="2F5A9704" w14:textId="77777777" w:rsidR="00EF74C7" w:rsidRPr="00CC28D3" w:rsidRDefault="00EF74C7" w:rsidP="00822842">
            <w:pPr>
              <w:pStyle w:val="Applicationdirecte"/>
              <w:spacing w:before="0" w:after="0"/>
            </w:pPr>
            <w:r w:rsidRPr="00CC28D3">
              <w:t>0020 – 0040</w:t>
            </w:r>
          </w:p>
        </w:tc>
        <w:tc>
          <w:tcPr>
            <w:tcW w:w="7655" w:type="dxa"/>
          </w:tcPr>
          <w:p w14:paraId="4160411B"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Z čoho: zaradené do viac ako jednej kategórie rizika</w:t>
            </w:r>
          </w:p>
          <w:p w14:paraId="24AE7BAE" w14:textId="2B714B63" w:rsidR="00EF74C7" w:rsidRPr="00CC28D3" w:rsidRDefault="00EF74C7" w:rsidP="00822842">
            <w:pPr>
              <w:keepNext/>
              <w:spacing w:before="60"/>
              <w:rPr>
                <w:rFonts w:ascii="Times New Roman" w:hAnsi="Times New Roman"/>
                <w:sz w:val="24"/>
              </w:rPr>
            </w:pPr>
            <w:r w:rsidRPr="00CC28D3">
              <w:rPr>
                <w:rFonts w:ascii="Times New Roman" w:hAnsi="Times New Roman"/>
                <w:sz w:val="24"/>
              </w:rPr>
              <w:t xml:space="preserve">Článok 277 ods. 3 nariadenia (EÚ) </w:t>
            </w:r>
            <w:r w:rsidR="00CC28D3">
              <w:rPr>
                <w:rFonts w:ascii="Times New Roman" w:hAnsi="Times New Roman"/>
                <w:sz w:val="24"/>
              </w:rPr>
              <w:t>č. </w:t>
            </w:r>
            <w:r w:rsidRPr="00CC28D3">
              <w:rPr>
                <w:rFonts w:ascii="Times New Roman" w:hAnsi="Times New Roman"/>
                <w:sz w:val="24"/>
              </w:rPr>
              <w:t>575/2013</w:t>
            </w:r>
          </w:p>
          <w:p w14:paraId="54CB9801" w14:textId="4322E20E" w:rsidR="00EF74C7" w:rsidRPr="00CC28D3" w:rsidRDefault="00EF74C7" w:rsidP="00822842">
            <w:pPr>
              <w:pStyle w:val="TableMainHeading"/>
              <w:spacing w:before="60"/>
              <w:jc w:val="both"/>
              <w:rPr>
                <w:rFonts w:ascii="Times New Roman" w:hAnsi="Times New Roman"/>
                <w:i/>
                <w:sz w:val="24"/>
                <w:szCs w:val="24"/>
              </w:rPr>
            </w:pPr>
            <w:r w:rsidRPr="00CC28D3">
              <w:rPr>
                <w:rFonts w:ascii="Times New Roman" w:hAnsi="Times New Roman"/>
                <w:sz w:val="24"/>
              </w:rPr>
              <w:t>Derivátové transakcie</w:t>
            </w:r>
            <w:r w:rsidR="00CC28D3">
              <w:rPr>
                <w:rFonts w:ascii="Times New Roman" w:hAnsi="Times New Roman"/>
                <w:sz w:val="24"/>
              </w:rPr>
              <w:t xml:space="preserve"> s </w:t>
            </w:r>
            <w:r w:rsidRPr="00CC28D3">
              <w:rPr>
                <w:rFonts w:ascii="Times New Roman" w:hAnsi="Times New Roman"/>
                <w:sz w:val="24"/>
              </w:rPr>
              <w:t>viac ako jedným významným rizikovým faktorom zaradené do dvoch (0020), troch (0030) alebo viac ako troch (0040) kategórií rizika na základe najvýznamnejších rizikových faktorov</w:t>
            </w:r>
            <w:r w:rsidR="00CC28D3">
              <w:rPr>
                <w:rFonts w:ascii="Times New Roman" w:hAnsi="Times New Roman"/>
                <w:sz w:val="24"/>
              </w:rPr>
              <w:t xml:space="preserve"> v </w:t>
            </w:r>
            <w:r w:rsidRPr="00CC28D3">
              <w:rPr>
                <w:rFonts w:ascii="Times New Roman" w:hAnsi="Times New Roman"/>
                <w:sz w:val="24"/>
              </w:rPr>
              <w:t>každej kategórii rizika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277 ods. 3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a </w:t>
            </w:r>
            <w:r w:rsidRPr="00CC28D3">
              <w:rPr>
                <w:rFonts w:ascii="Times New Roman" w:hAnsi="Times New Roman"/>
                <w:sz w:val="24"/>
              </w:rPr>
              <w:t>regulačnými technickými predpismi EBA uvedenými</w:t>
            </w:r>
            <w:r w:rsidR="00CC28D3">
              <w:rPr>
                <w:rFonts w:ascii="Times New Roman" w:hAnsi="Times New Roman"/>
                <w:sz w:val="24"/>
              </w:rPr>
              <w:t xml:space="preserve"> v </w:t>
            </w:r>
            <w:r w:rsidRPr="00CC28D3">
              <w:rPr>
                <w:rFonts w:ascii="Times New Roman" w:hAnsi="Times New Roman"/>
                <w:sz w:val="24"/>
              </w:rPr>
              <w:t>článku 277 ods. 5 uvedeného nariadenia.</w:t>
            </w:r>
          </w:p>
        </w:tc>
      </w:tr>
      <w:tr w:rsidR="00EF74C7" w:rsidRPr="00CC28D3" w14:paraId="5AE04D2C" w14:textId="77777777" w:rsidTr="00822842">
        <w:trPr>
          <w:trHeight w:val="680"/>
        </w:trPr>
        <w:tc>
          <w:tcPr>
            <w:tcW w:w="1384" w:type="dxa"/>
          </w:tcPr>
          <w:p w14:paraId="27C055FD" w14:textId="4A2F15B4" w:rsidR="00EF74C7" w:rsidRPr="00CC28D3" w:rsidRDefault="00EF74C7" w:rsidP="00822842">
            <w:pPr>
              <w:pStyle w:val="Applicationdirecte"/>
              <w:spacing w:before="0" w:after="0"/>
              <w:jc w:val="left"/>
            </w:pPr>
            <w:r w:rsidRPr="00CC28D3">
              <w:t>0070 –⁠ 0110</w:t>
            </w:r>
            <w:r w:rsidR="00CC28D3">
              <w:t xml:space="preserve"> a </w:t>
            </w:r>
            <w:r w:rsidRPr="00CC28D3">
              <w:t>0140 –⁠ 0180</w:t>
            </w:r>
          </w:p>
        </w:tc>
        <w:tc>
          <w:tcPr>
            <w:tcW w:w="7655" w:type="dxa"/>
          </w:tcPr>
          <w:p w14:paraId="18AF84E8" w14:textId="0CBF9F79" w:rsidR="00EF74C7" w:rsidRPr="00CC28D3" w:rsidRDefault="00EF74C7" w:rsidP="00822842">
            <w:pPr>
              <w:pStyle w:val="TableMainHeading"/>
              <w:spacing w:before="60"/>
              <w:jc w:val="both"/>
              <w:rPr>
                <w:rStyle w:val="InstructionsTabelleberschrift"/>
                <w:rFonts w:ascii="Times New Roman" w:eastAsiaTheme="minorEastAsia" w:hAnsi="Times New Roman"/>
                <w:sz w:val="24"/>
                <w:szCs w:val="24"/>
              </w:rPr>
            </w:pPr>
            <w:r w:rsidRPr="00CC28D3">
              <w:rPr>
                <w:rStyle w:val="InstructionsTabelleberschrift"/>
                <w:rFonts w:ascii="Times New Roman" w:hAnsi="Times New Roman"/>
                <w:sz w:val="24"/>
              </w:rPr>
              <w:t>Najväčšia mena</w:t>
            </w:r>
            <w:r w:rsidR="00CC28D3">
              <w:rPr>
                <w:rStyle w:val="InstructionsTabelleberschrift"/>
                <w:rFonts w:ascii="Times New Roman" w:hAnsi="Times New Roman"/>
                <w:sz w:val="24"/>
              </w:rPr>
              <w:t xml:space="preserve"> a </w:t>
            </w:r>
            <w:r w:rsidRPr="00CC28D3">
              <w:rPr>
                <w:rStyle w:val="InstructionsTabelleberschrift"/>
                <w:rFonts w:ascii="Times New Roman" w:hAnsi="Times New Roman"/>
                <w:sz w:val="24"/>
              </w:rPr>
              <w:t>menový pár</w:t>
            </w:r>
          </w:p>
          <w:p w14:paraId="049B6111" w14:textId="0D423022" w:rsidR="00CC28D3" w:rsidRDefault="00EF74C7" w:rsidP="00822842">
            <w:pPr>
              <w:rPr>
                <w:rFonts w:ascii="Times New Roman" w:hAnsi="Times New Roman"/>
                <w:sz w:val="24"/>
              </w:rPr>
            </w:pPr>
            <w:r w:rsidRPr="00CC28D3">
              <w:rPr>
                <w:rFonts w:ascii="Times New Roman" w:hAnsi="Times New Roman"/>
                <w:sz w:val="24"/>
              </w:rPr>
              <w:t>Táto klasifikácia sa vykonáva na základe CMV portfólia inštitúcie</w:t>
            </w:r>
            <w:r w:rsidR="00CC28D3">
              <w:rPr>
                <w:rFonts w:ascii="Times New Roman" w:hAnsi="Times New Roman"/>
                <w:sz w:val="24"/>
              </w:rPr>
              <w:t xml:space="preserve"> v </w:t>
            </w:r>
            <w:r w:rsidRPr="00CC28D3">
              <w:rPr>
                <w:rFonts w:ascii="Times New Roman" w:hAnsi="Times New Roman"/>
                <w:sz w:val="24"/>
              </w:rPr>
              <w:t>rámci prístupu SA-CCR alebo prípadne</w:t>
            </w:r>
            <w:r w:rsidR="00CC28D3">
              <w:rPr>
                <w:rFonts w:ascii="Times New Roman" w:hAnsi="Times New Roman"/>
                <w:sz w:val="24"/>
              </w:rPr>
              <w:t xml:space="preserve"> v </w:t>
            </w:r>
            <w:r w:rsidRPr="00CC28D3">
              <w:rPr>
                <w:rFonts w:ascii="Times New Roman" w:hAnsi="Times New Roman"/>
                <w:sz w:val="24"/>
              </w:rPr>
              <w:t xml:space="preserve">rámci zjednodušeného prístupu SA-CCR </w:t>
            </w:r>
            <w:r w:rsidRPr="00CC28D3">
              <w:rPr>
                <w:rFonts w:ascii="Times New Roman" w:hAnsi="Times New Roman"/>
                <w:sz w:val="24"/>
              </w:rPr>
              <w:lastRenderedPageBreak/>
              <w:t>pri transakciách zaradených do kategórie úrokového rizika, resp. do kategórie devízového rizika</w:t>
            </w:r>
            <w:r w:rsidR="00CC28D3">
              <w:rPr>
                <w:rFonts w:ascii="Times New Roman" w:hAnsi="Times New Roman"/>
                <w:sz w:val="24"/>
              </w:rPr>
              <w:t>.</w:t>
            </w:r>
          </w:p>
          <w:p w14:paraId="7CB8DC17" w14:textId="6CBC0868" w:rsidR="00EF74C7" w:rsidRPr="00CC28D3" w:rsidRDefault="00EF74C7" w:rsidP="00822842">
            <w:pPr>
              <w:rPr>
                <w:rFonts w:ascii="Times New Roman" w:hAnsi="Times New Roman"/>
                <w:i/>
                <w:sz w:val="24"/>
              </w:rPr>
            </w:pPr>
            <w:r w:rsidRPr="00CC28D3">
              <w:rPr>
                <w:rFonts w:ascii="Times New Roman" w:hAnsi="Times New Roman"/>
                <w:sz w:val="24"/>
              </w:rPr>
              <w:t>Na účely klasifikácie sa spočíta absolútna hodnota CMV pozícií.</w:t>
            </w:r>
          </w:p>
        </w:tc>
      </w:tr>
      <w:tr w:rsidR="00EF74C7" w:rsidRPr="00CC28D3" w14:paraId="2A739349" w14:textId="77777777" w:rsidTr="00822842">
        <w:trPr>
          <w:trHeight w:val="2279"/>
        </w:trPr>
        <w:tc>
          <w:tcPr>
            <w:tcW w:w="1384" w:type="dxa"/>
          </w:tcPr>
          <w:p w14:paraId="69FD83B3" w14:textId="77777777" w:rsidR="00EF74C7" w:rsidRPr="00CC28D3" w:rsidRDefault="00EF74C7" w:rsidP="00822842">
            <w:pPr>
              <w:pStyle w:val="Applicationdirecte"/>
              <w:spacing w:before="0" w:after="0"/>
            </w:pPr>
            <w:r w:rsidRPr="00CC28D3">
              <w:lastRenderedPageBreak/>
              <w:t>0060, 0130, 0200, 0240, 0280</w:t>
            </w:r>
          </w:p>
        </w:tc>
        <w:tc>
          <w:tcPr>
            <w:tcW w:w="7655" w:type="dxa"/>
          </w:tcPr>
          <w:p w14:paraId="3DB24763"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Výlučné zaradenie</w:t>
            </w:r>
          </w:p>
          <w:p w14:paraId="7B69873D" w14:textId="3C071A6F" w:rsidR="00EF74C7" w:rsidRPr="00CC28D3" w:rsidRDefault="00EF74C7" w:rsidP="00822842">
            <w:pPr>
              <w:keepNext/>
              <w:spacing w:before="60"/>
              <w:rPr>
                <w:rFonts w:ascii="Times New Roman" w:hAnsi="Times New Roman"/>
                <w:sz w:val="24"/>
              </w:rPr>
            </w:pPr>
            <w:r w:rsidRPr="00CC28D3">
              <w:rPr>
                <w:rFonts w:ascii="Times New Roman" w:hAnsi="Times New Roman"/>
                <w:sz w:val="24"/>
              </w:rPr>
              <w:t>Článok 277 ods. 1</w:t>
            </w:r>
            <w:r w:rsidR="00CC28D3">
              <w:rPr>
                <w:rFonts w:ascii="Times New Roman" w:hAnsi="Times New Roman"/>
                <w:sz w:val="24"/>
              </w:rPr>
              <w:t xml:space="preserve"> a </w:t>
            </w:r>
            <w:r w:rsidRPr="00CC28D3">
              <w:rPr>
                <w:rFonts w:ascii="Times New Roman" w:hAnsi="Times New Roman"/>
                <w:sz w:val="24"/>
              </w:rPr>
              <w:t xml:space="preserve">2 nariadenia (EÚ) </w:t>
            </w:r>
            <w:r w:rsidR="00CC28D3">
              <w:rPr>
                <w:rFonts w:ascii="Times New Roman" w:hAnsi="Times New Roman"/>
                <w:sz w:val="24"/>
              </w:rPr>
              <w:t>č. </w:t>
            </w:r>
            <w:r w:rsidRPr="00CC28D3">
              <w:rPr>
                <w:rFonts w:ascii="Times New Roman" w:hAnsi="Times New Roman"/>
                <w:sz w:val="24"/>
              </w:rPr>
              <w:t>575/2013</w:t>
            </w:r>
          </w:p>
          <w:p w14:paraId="64C8B9CE" w14:textId="1C07A6A5" w:rsidR="00CC28D3" w:rsidRDefault="00EF74C7" w:rsidP="00822842">
            <w:pPr>
              <w:pStyle w:val="TableMainHeading"/>
              <w:spacing w:before="60"/>
              <w:jc w:val="both"/>
              <w:rPr>
                <w:rFonts w:ascii="Times New Roman" w:hAnsi="Times New Roman"/>
                <w:sz w:val="24"/>
              </w:rPr>
            </w:pPr>
            <w:r w:rsidRPr="00CC28D3">
              <w:rPr>
                <w:rFonts w:ascii="Times New Roman" w:hAnsi="Times New Roman"/>
                <w:sz w:val="24"/>
              </w:rPr>
              <w:t>Derivátové transakcie zaradené výlučne do jednej kategórie rizika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článkom 277 ods. 1</w:t>
            </w:r>
            <w:r w:rsidR="00CC28D3">
              <w:rPr>
                <w:rFonts w:ascii="Times New Roman" w:hAnsi="Times New Roman"/>
                <w:sz w:val="24"/>
              </w:rPr>
              <w:t xml:space="preserve"> a </w:t>
            </w:r>
            <w:r w:rsidRPr="00CC28D3">
              <w:rPr>
                <w:rFonts w:ascii="Times New Roman" w:hAnsi="Times New Roman"/>
                <w:sz w:val="24"/>
              </w:rPr>
              <w:t xml:space="preserve">2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w:t>
            </w:r>
          </w:p>
          <w:p w14:paraId="42AAB877" w14:textId="0BF6558F" w:rsidR="00EF74C7" w:rsidRPr="00CC28D3" w:rsidRDefault="00EF74C7" w:rsidP="00822842">
            <w:pPr>
              <w:pStyle w:val="TableMainHeading"/>
              <w:spacing w:before="60"/>
              <w:jc w:val="both"/>
              <w:rPr>
                <w:rFonts w:ascii="Times New Roman" w:hAnsi="Times New Roman"/>
                <w:sz w:val="24"/>
                <w:szCs w:val="24"/>
              </w:rPr>
            </w:pPr>
            <w:r w:rsidRPr="00CC28D3">
              <w:rPr>
                <w:rFonts w:ascii="Times New Roman" w:hAnsi="Times New Roman"/>
                <w:sz w:val="24"/>
              </w:rPr>
              <w:t>Vylúčené sú transakcie, ktoré sú zaradené do rôznych kategórií rizika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277 ods. 3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17A6F38B" w14:textId="77777777" w:rsidTr="00822842">
        <w:trPr>
          <w:trHeight w:val="680"/>
        </w:trPr>
        <w:tc>
          <w:tcPr>
            <w:tcW w:w="1384" w:type="dxa"/>
          </w:tcPr>
          <w:p w14:paraId="2EE61A22" w14:textId="77777777" w:rsidR="00EF74C7" w:rsidRPr="00CC28D3" w:rsidRDefault="00EF74C7" w:rsidP="00822842">
            <w:pPr>
              <w:pStyle w:val="Applicationdirecte"/>
              <w:spacing w:before="0" w:after="0"/>
            </w:pPr>
            <w:r w:rsidRPr="00CC28D3">
              <w:t xml:space="preserve">0210, 0250 </w:t>
            </w:r>
          </w:p>
        </w:tc>
        <w:tc>
          <w:tcPr>
            <w:tcW w:w="7655" w:type="dxa"/>
          </w:tcPr>
          <w:p w14:paraId="3F3F461F" w14:textId="77777777" w:rsidR="00CC28D3" w:rsidRDefault="00EF74C7" w:rsidP="00822842">
            <w:pPr>
              <w:pStyle w:val="TableMainHeading"/>
              <w:spacing w:before="60"/>
              <w:jc w:val="both"/>
              <w:rPr>
                <w:rStyle w:val="InstructionsTabelleberschrift"/>
                <w:rFonts w:ascii="Times New Roman" w:hAnsi="Times New Roman"/>
                <w:sz w:val="24"/>
              </w:rPr>
            </w:pPr>
            <w:r w:rsidRPr="00CC28D3">
              <w:rPr>
                <w:rStyle w:val="InstructionsTabelleberschrift"/>
                <w:rFonts w:ascii="Times New Roman" w:hAnsi="Times New Roman"/>
                <w:sz w:val="24"/>
              </w:rPr>
              <w:t>Transakcie zmierňujúce kreditné riziko len jednej protistrany</w:t>
            </w:r>
          </w:p>
          <w:p w14:paraId="31620001" w14:textId="05F9124A" w:rsidR="00EF74C7" w:rsidRPr="00CC28D3" w:rsidRDefault="00EF74C7" w:rsidP="00822842">
            <w:pPr>
              <w:pStyle w:val="TableMainHeading"/>
              <w:spacing w:before="60"/>
              <w:jc w:val="both"/>
              <w:rPr>
                <w:rStyle w:val="InstructionsTabelleberschrift"/>
                <w:rFonts w:ascii="Times New Roman" w:hAnsi="Times New Roman"/>
                <w:sz w:val="24"/>
              </w:rPr>
            </w:pPr>
            <w:r w:rsidRPr="00CC28D3">
              <w:rPr>
                <w:rFonts w:ascii="Times New Roman" w:hAnsi="Times New Roman"/>
                <w:sz w:val="24"/>
              </w:rPr>
              <w:t>Transakcie zmierňujúce kreditné riziko len jednej protistrany, ktoré sú zaradené do kategórie kreditného rizika, resp. do kategórie akciového rizika.</w:t>
            </w:r>
            <w:r w:rsidRPr="00CC28D3">
              <w:rPr>
                <w:rStyle w:val="InstructionsTabelleberschrift"/>
                <w:rFonts w:ascii="Times New Roman" w:hAnsi="Times New Roman"/>
                <w:sz w:val="24"/>
              </w:rPr>
              <w:t xml:space="preserve"> </w:t>
            </w:r>
          </w:p>
        </w:tc>
      </w:tr>
      <w:tr w:rsidR="00EF74C7" w:rsidRPr="00CC28D3" w14:paraId="411237CA" w14:textId="77777777" w:rsidTr="00822842">
        <w:trPr>
          <w:trHeight w:val="680"/>
        </w:trPr>
        <w:tc>
          <w:tcPr>
            <w:tcW w:w="1384" w:type="dxa"/>
          </w:tcPr>
          <w:p w14:paraId="7AD9D26A" w14:textId="77777777" w:rsidR="00EF74C7" w:rsidRPr="00CC28D3" w:rsidRDefault="00EF74C7" w:rsidP="00822842">
            <w:pPr>
              <w:pStyle w:val="Applicationdirecte"/>
              <w:spacing w:before="0" w:after="0"/>
            </w:pPr>
            <w:r w:rsidRPr="00CC28D3">
              <w:t>0220, 0260</w:t>
            </w:r>
          </w:p>
        </w:tc>
        <w:tc>
          <w:tcPr>
            <w:tcW w:w="7655" w:type="dxa"/>
          </w:tcPr>
          <w:p w14:paraId="116A322F"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Transakcie zmierňujúce kreditné riziko viacerých zmluvných strán</w:t>
            </w:r>
          </w:p>
          <w:p w14:paraId="3213EA59" w14:textId="77777777" w:rsidR="00EF74C7" w:rsidRPr="00CC28D3" w:rsidRDefault="00EF74C7" w:rsidP="00822842">
            <w:pPr>
              <w:keepNext/>
              <w:spacing w:before="60"/>
              <w:rPr>
                <w:rStyle w:val="InstructionsTabelleberschrift"/>
                <w:rFonts w:ascii="Times New Roman" w:hAnsi="Times New Roman"/>
                <w:sz w:val="24"/>
              </w:rPr>
            </w:pPr>
            <w:r w:rsidRPr="00CC28D3">
              <w:rPr>
                <w:rFonts w:ascii="Times New Roman" w:hAnsi="Times New Roman"/>
                <w:sz w:val="24"/>
              </w:rPr>
              <w:t xml:space="preserve">Transakcie zmierňujúce kreditné riziko viacerých zmluvných strán, ktoré sú zaradené do kategórie kreditného rizika, resp. do kategórie akciového rizika. </w:t>
            </w:r>
          </w:p>
        </w:tc>
      </w:tr>
      <w:tr w:rsidR="00EF74C7" w:rsidRPr="00CC28D3" w14:paraId="7EFE115E" w14:textId="77777777" w:rsidTr="00822842">
        <w:trPr>
          <w:trHeight w:val="680"/>
        </w:trPr>
        <w:tc>
          <w:tcPr>
            <w:tcW w:w="1384" w:type="dxa"/>
          </w:tcPr>
          <w:p w14:paraId="72F329F4" w14:textId="77777777" w:rsidR="00EF74C7" w:rsidRPr="00CC28D3" w:rsidRDefault="00EF74C7" w:rsidP="00822842">
            <w:pPr>
              <w:pStyle w:val="Applicationdirecte"/>
              <w:spacing w:before="0" w:after="0"/>
            </w:pPr>
            <w:r w:rsidRPr="00CC28D3">
              <w:t>0290 –⁠ 0330</w:t>
            </w:r>
          </w:p>
        </w:tc>
        <w:tc>
          <w:tcPr>
            <w:tcW w:w="7655" w:type="dxa"/>
          </w:tcPr>
          <w:p w14:paraId="759D7338" w14:textId="77777777" w:rsidR="00EF74C7" w:rsidRPr="00CC28D3" w:rsidRDefault="00EF74C7" w:rsidP="00822842">
            <w:pPr>
              <w:keepNext/>
              <w:spacing w:before="60"/>
              <w:rPr>
                <w:rStyle w:val="InstructionsTabelleberschrift"/>
                <w:rFonts w:ascii="Times New Roman" w:hAnsi="Times New Roman"/>
                <w:sz w:val="24"/>
              </w:rPr>
            </w:pPr>
            <w:proofErr w:type="spellStart"/>
            <w:r w:rsidRPr="00CC28D3">
              <w:rPr>
                <w:rStyle w:val="InstructionsTabelleberschrift"/>
                <w:rFonts w:ascii="Times New Roman" w:hAnsi="Times New Roman"/>
                <w:sz w:val="24"/>
              </w:rPr>
              <w:t>Hedžovacie</w:t>
            </w:r>
            <w:proofErr w:type="spellEnd"/>
            <w:r w:rsidRPr="00CC28D3">
              <w:rPr>
                <w:rStyle w:val="InstructionsTabelleberschrift"/>
                <w:rFonts w:ascii="Times New Roman" w:hAnsi="Times New Roman"/>
                <w:sz w:val="24"/>
              </w:rPr>
              <w:t xml:space="preserve"> súbory kategórie komoditného rizika</w:t>
            </w:r>
          </w:p>
          <w:p w14:paraId="345A15AB" w14:textId="32736E34" w:rsidR="00EF74C7" w:rsidRPr="00CC28D3" w:rsidRDefault="00EF74C7" w:rsidP="00822842">
            <w:pPr>
              <w:keepNext/>
              <w:spacing w:before="60"/>
              <w:rPr>
                <w:rFonts w:ascii="Times New Roman" w:hAnsi="Times New Roman"/>
                <w:sz w:val="24"/>
              </w:rPr>
            </w:pPr>
            <w:r w:rsidRPr="00CC28D3">
              <w:rPr>
                <w:rFonts w:ascii="Times New Roman" w:hAnsi="Times New Roman"/>
                <w:sz w:val="24"/>
              </w:rPr>
              <w:t>Derivátové transakcie priradené</w:t>
            </w:r>
            <w:r w:rsidR="00CC28D3">
              <w:rPr>
                <w:rFonts w:ascii="Times New Roman" w:hAnsi="Times New Roman"/>
                <w:sz w:val="24"/>
              </w:rPr>
              <w:t xml:space="preserve"> k </w:t>
            </w:r>
            <w:proofErr w:type="spellStart"/>
            <w:r w:rsidRPr="00CC28D3">
              <w:rPr>
                <w:rFonts w:ascii="Times New Roman" w:hAnsi="Times New Roman"/>
                <w:sz w:val="24"/>
              </w:rPr>
              <w:t>hedžovacím</w:t>
            </w:r>
            <w:proofErr w:type="spellEnd"/>
            <w:r w:rsidRPr="00CC28D3">
              <w:rPr>
                <w:rFonts w:ascii="Times New Roman" w:hAnsi="Times New Roman"/>
                <w:sz w:val="24"/>
              </w:rPr>
              <w:t xml:space="preserve"> súborom kategórie komoditného rizika, ako sa uvádza</w:t>
            </w:r>
            <w:r w:rsidR="00CC28D3">
              <w:rPr>
                <w:rFonts w:ascii="Times New Roman" w:hAnsi="Times New Roman"/>
                <w:sz w:val="24"/>
              </w:rPr>
              <w:t xml:space="preserve"> v </w:t>
            </w:r>
            <w:r w:rsidRPr="00CC28D3">
              <w:rPr>
                <w:rFonts w:ascii="Times New Roman" w:hAnsi="Times New Roman"/>
                <w:sz w:val="24"/>
              </w:rPr>
              <w:t xml:space="preserve">článku 277a ods. 1 písm. e) nariadenia (EÚ) </w:t>
            </w:r>
            <w:r w:rsidR="00CC28D3">
              <w:rPr>
                <w:rFonts w:ascii="Times New Roman" w:hAnsi="Times New Roman"/>
                <w:sz w:val="24"/>
              </w:rPr>
              <w:t>č. </w:t>
            </w:r>
            <w:r w:rsidRPr="00CC28D3">
              <w:rPr>
                <w:rFonts w:ascii="Times New Roman" w:hAnsi="Times New Roman"/>
                <w:sz w:val="24"/>
              </w:rPr>
              <w:t>575/2013.</w:t>
            </w:r>
          </w:p>
        </w:tc>
      </w:tr>
    </w:tbl>
    <w:p w14:paraId="73ED3197" w14:textId="77777777" w:rsidR="00EF74C7" w:rsidRPr="00CC28D3" w:rsidRDefault="00EF74C7" w:rsidP="00EF74C7">
      <w:pPr>
        <w:tabs>
          <w:tab w:val="left" w:pos="1430"/>
        </w:tabs>
        <w:rPr>
          <w:rFonts w:ascii="Times New Roman" w:hAnsi="Times New Roman"/>
        </w:rPr>
      </w:pPr>
    </w:p>
    <w:p w14:paraId="6D94642A" w14:textId="1CBA37F9" w:rsidR="00EF74C7" w:rsidRPr="00CC28D3"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sidRPr="00CC28D3">
        <w:rPr>
          <w:rFonts w:ascii="Times New Roman" w:hAnsi="Times New Roman"/>
          <w:sz w:val="24"/>
        </w:rPr>
        <w:t>C 34.04 –⁠ Expozície voči CCR,</w:t>
      </w:r>
      <w:r w:rsidR="00CC28D3">
        <w:rPr>
          <w:rFonts w:ascii="Times New Roman" w:hAnsi="Times New Roman"/>
          <w:sz w:val="24"/>
        </w:rPr>
        <w:t xml:space="preserve"> s </w:t>
      </w:r>
      <w:r w:rsidRPr="00CC28D3">
        <w:rPr>
          <w:rFonts w:ascii="Times New Roman" w:hAnsi="Times New Roman"/>
          <w:sz w:val="24"/>
        </w:rPr>
        <w:t>ktorými sa zaobchádza podľa metódy pôvodnej expozície (OEM)</w:t>
      </w:r>
      <w:bookmarkEnd w:id="34"/>
      <w:bookmarkEnd w:id="35"/>
    </w:p>
    <w:p w14:paraId="70D39844"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sidRPr="00CC28D3">
        <w:rPr>
          <w:rFonts w:ascii="Times New Roman" w:hAnsi="Times New Roman"/>
          <w:sz w:val="24"/>
        </w:rPr>
        <w:t>Pokyny týkajúce sa konkrétnych pozícií</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155C08F8" w14:textId="77777777" w:rsidTr="00822842">
        <w:trPr>
          <w:trHeight w:val="238"/>
        </w:trPr>
        <w:tc>
          <w:tcPr>
            <w:tcW w:w="9039" w:type="dxa"/>
            <w:gridSpan w:val="2"/>
            <w:shd w:val="clear" w:color="auto" w:fill="D9D9D9" w:themeFill="background1" w:themeFillShade="D9"/>
          </w:tcPr>
          <w:p w14:paraId="00855009" w14:textId="77777777" w:rsidR="00EF74C7" w:rsidRPr="00CC28D3" w:rsidRDefault="00EF74C7" w:rsidP="00822842">
            <w:pPr>
              <w:autoSpaceDE w:val="0"/>
              <w:autoSpaceDN w:val="0"/>
              <w:adjustRightInd w:val="0"/>
              <w:rPr>
                <w:rFonts w:ascii="Times New Roman" w:hAnsi="Times New Roman"/>
                <w:b/>
                <w:sz w:val="24"/>
              </w:rPr>
            </w:pPr>
            <w:r w:rsidRPr="00CC28D3">
              <w:rPr>
                <w:rFonts w:ascii="Times New Roman" w:hAnsi="Times New Roman"/>
                <w:b/>
                <w:sz w:val="24"/>
              </w:rPr>
              <w:t>Stĺpce</w:t>
            </w:r>
          </w:p>
        </w:tc>
      </w:tr>
      <w:tr w:rsidR="00EF74C7" w:rsidRPr="00CC28D3" w14:paraId="77E289F2" w14:textId="77777777" w:rsidTr="00822842">
        <w:trPr>
          <w:trHeight w:val="680"/>
        </w:trPr>
        <w:tc>
          <w:tcPr>
            <w:tcW w:w="1384" w:type="dxa"/>
          </w:tcPr>
          <w:p w14:paraId="06D0BF35" w14:textId="77777777" w:rsidR="00EF74C7" w:rsidRPr="00CC28D3" w:rsidRDefault="00EF74C7" w:rsidP="00822842">
            <w:pPr>
              <w:pStyle w:val="Applicationdirecte"/>
              <w:spacing w:before="0" w:after="0"/>
            </w:pPr>
            <w:r w:rsidRPr="00CC28D3">
              <w:t>0010 – 0020</w:t>
            </w:r>
          </w:p>
        </w:tc>
        <w:tc>
          <w:tcPr>
            <w:tcW w:w="7655" w:type="dxa"/>
            <w:vAlign w:val="center"/>
          </w:tcPr>
          <w:p w14:paraId="1143FA35" w14:textId="7A860029" w:rsidR="00EF74C7" w:rsidRPr="00CC28D3" w:rsidRDefault="00EF74C7" w:rsidP="00822842">
            <w:pPr>
              <w:keepNext/>
              <w:spacing w:before="60"/>
              <w:rPr>
                <w:rFonts w:ascii="Times New Roman" w:hAnsi="Times New Roman"/>
                <w:sz w:val="24"/>
              </w:rPr>
            </w:pPr>
            <w:r w:rsidRPr="00CC28D3">
              <w:rPr>
                <w:rFonts w:ascii="Times New Roman" w:hAnsi="Times New Roman"/>
                <w:sz w:val="24"/>
              </w:rPr>
              <w:t>Pokyny</w:t>
            </w:r>
            <w:r w:rsidR="00CC28D3">
              <w:rPr>
                <w:rFonts w:ascii="Times New Roman" w:hAnsi="Times New Roman"/>
                <w:sz w:val="24"/>
              </w:rPr>
              <w:t xml:space="preserve"> k </w:t>
            </w:r>
            <w:r w:rsidRPr="00CC28D3">
              <w:rPr>
                <w:rFonts w:ascii="Times New Roman" w:hAnsi="Times New Roman"/>
                <w:sz w:val="24"/>
              </w:rPr>
              <w:t>stĺpcom 0010</w:t>
            </w:r>
            <w:r w:rsidR="00CC28D3">
              <w:rPr>
                <w:rFonts w:ascii="Times New Roman" w:hAnsi="Times New Roman"/>
                <w:sz w:val="24"/>
              </w:rPr>
              <w:t xml:space="preserve"> a </w:t>
            </w:r>
            <w:r w:rsidRPr="00CC28D3">
              <w:rPr>
                <w:rFonts w:ascii="Times New Roman" w:hAnsi="Times New Roman"/>
                <w:sz w:val="24"/>
              </w:rPr>
              <w:t>0020 zodpovedajú pokynom poskytnutým pre vzor C 34.02.</w:t>
            </w:r>
          </w:p>
        </w:tc>
      </w:tr>
      <w:tr w:rsidR="00EF74C7" w:rsidRPr="00CC28D3" w14:paraId="246DE35A" w14:textId="77777777" w:rsidTr="00822842">
        <w:trPr>
          <w:trHeight w:val="680"/>
        </w:trPr>
        <w:tc>
          <w:tcPr>
            <w:tcW w:w="1384" w:type="dxa"/>
          </w:tcPr>
          <w:p w14:paraId="48D3046F" w14:textId="77777777" w:rsidR="00EF74C7" w:rsidRPr="00CC28D3" w:rsidRDefault="00EF74C7" w:rsidP="00822842">
            <w:pPr>
              <w:pStyle w:val="Applicationdirecte"/>
              <w:spacing w:before="0" w:after="0"/>
              <w:jc w:val="left"/>
            </w:pPr>
            <w:r w:rsidRPr="00CC28D3">
              <w:t>0030</w:t>
            </w:r>
          </w:p>
        </w:tc>
        <w:tc>
          <w:tcPr>
            <w:tcW w:w="7655" w:type="dxa"/>
            <w:vAlign w:val="center"/>
          </w:tcPr>
          <w:p w14:paraId="625DEDC4"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SÚČASNÁ TRHOVÁ HODNOTA (CMV), KLADNÁ</w:t>
            </w:r>
          </w:p>
          <w:p w14:paraId="48775111" w14:textId="74C5F57F" w:rsidR="00EF74C7" w:rsidRPr="00CC28D3" w:rsidRDefault="00EF74C7" w:rsidP="00822842">
            <w:pPr>
              <w:keepNext/>
              <w:spacing w:before="60"/>
              <w:rPr>
                <w:rFonts w:ascii="Times New Roman" w:hAnsi="Times New Roman"/>
                <w:sz w:val="24"/>
              </w:rPr>
            </w:pPr>
            <w:r w:rsidRPr="00CC28D3">
              <w:rPr>
                <w:rFonts w:ascii="Times New Roman" w:hAnsi="Times New Roman"/>
                <w:sz w:val="24"/>
              </w:rPr>
              <w:t>Súčet súčasných trhových hodnôt (CMV) všetkých transakcií</w:t>
            </w:r>
            <w:r w:rsidR="00CC28D3">
              <w:rPr>
                <w:rFonts w:ascii="Times New Roman" w:hAnsi="Times New Roman"/>
                <w:sz w:val="24"/>
              </w:rPr>
              <w:t xml:space="preserve"> s </w:t>
            </w:r>
            <w:r w:rsidRPr="00CC28D3">
              <w:rPr>
                <w:rFonts w:ascii="Times New Roman" w:hAnsi="Times New Roman"/>
                <w:sz w:val="24"/>
              </w:rPr>
              <w:t>kladnou CMV</w:t>
            </w:r>
            <w:r w:rsidR="00CC28D3">
              <w:rPr>
                <w:rFonts w:ascii="Times New Roman" w:hAnsi="Times New Roman"/>
                <w:sz w:val="24"/>
              </w:rPr>
              <w:t xml:space="preserve"> v </w:t>
            </w:r>
            <w:r w:rsidRPr="00CC28D3">
              <w:rPr>
                <w:rFonts w:ascii="Times New Roman" w:hAnsi="Times New Roman"/>
                <w:sz w:val="24"/>
              </w:rPr>
              <w:t>príslušnej kategórii rizika.</w:t>
            </w:r>
          </w:p>
        </w:tc>
      </w:tr>
      <w:tr w:rsidR="00EF74C7" w:rsidRPr="00CC28D3" w14:paraId="755B978D" w14:textId="77777777" w:rsidTr="00822842">
        <w:trPr>
          <w:trHeight w:val="680"/>
        </w:trPr>
        <w:tc>
          <w:tcPr>
            <w:tcW w:w="1384" w:type="dxa"/>
          </w:tcPr>
          <w:p w14:paraId="26B7B5EF" w14:textId="77777777" w:rsidR="00EF74C7" w:rsidRPr="00CC28D3" w:rsidRDefault="00EF74C7" w:rsidP="00822842">
            <w:pPr>
              <w:pStyle w:val="Applicationdirecte"/>
              <w:spacing w:before="0" w:after="0"/>
              <w:jc w:val="left"/>
            </w:pPr>
            <w:r w:rsidRPr="00CC28D3">
              <w:t>0040</w:t>
            </w:r>
          </w:p>
        </w:tc>
        <w:tc>
          <w:tcPr>
            <w:tcW w:w="7655" w:type="dxa"/>
            <w:vAlign w:val="center"/>
          </w:tcPr>
          <w:p w14:paraId="70CB5B2D"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SÚČASNÁ TRHOVÁ HODNOTA (CMV), ZÁPORNÁ</w:t>
            </w:r>
          </w:p>
          <w:p w14:paraId="4475C6E2" w14:textId="52F6D17F" w:rsidR="00EF74C7" w:rsidRPr="00CC28D3" w:rsidRDefault="00EF74C7" w:rsidP="00822842">
            <w:pPr>
              <w:keepNext/>
              <w:spacing w:before="60"/>
              <w:rPr>
                <w:rStyle w:val="InstructionsTabelleberschrift"/>
                <w:rFonts w:ascii="Times New Roman" w:hAnsi="Times New Roman"/>
                <w:b w:val="0"/>
                <w:bCs w:val="0"/>
                <w:sz w:val="24"/>
                <w:u w:val="none"/>
              </w:rPr>
            </w:pPr>
            <w:r w:rsidRPr="00CC28D3">
              <w:rPr>
                <w:rFonts w:ascii="Times New Roman" w:hAnsi="Times New Roman"/>
                <w:sz w:val="24"/>
              </w:rPr>
              <w:t>Súčet absolútnych súčasných trhových hodnôt (CMV) všetkých transakcií so zápornou CMV</w:t>
            </w:r>
            <w:r w:rsidR="00CC28D3">
              <w:rPr>
                <w:rFonts w:ascii="Times New Roman" w:hAnsi="Times New Roman"/>
                <w:sz w:val="24"/>
              </w:rPr>
              <w:t xml:space="preserve"> v </w:t>
            </w:r>
            <w:r w:rsidRPr="00CC28D3">
              <w:rPr>
                <w:rFonts w:ascii="Times New Roman" w:hAnsi="Times New Roman"/>
                <w:sz w:val="24"/>
              </w:rPr>
              <w:t>príslušnej kategórii rizika.</w:t>
            </w:r>
          </w:p>
        </w:tc>
      </w:tr>
      <w:tr w:rsidR="00EF74C7" w:rsidRPr="00CC28D3" w14:paraId="02760C8A" w14:textId="77777777" w:rsidTr="00822842">
        <w:trPr>
          <w:trHeight w:val="680"/>
        </w:trPr>
        <w:tc>
          <w:tcPr>
            <w:tcW w:w="1384" w:type="dxa"/>
          </w:tcPr>
          <w:p w14:paraId="55D1F90D" w14:textId="77777777" w:rsidR="00EF74C7" w:rsidRPr="00CC28D3" w:rsidRDefault="00EF74C7" w:rsidP="00822842">
            <w:pPr>
              <w:pStyle w:val="Applicationdirecte"/>
              <w:spacing w:before="0" w:after="0"/>
              <w:jc w:val="left"/>
            </w:pPr>
            <w:r w:rsidRPr="00CC28D3">
              <w:t>0050</w:t>
            </w:r>
          </w:p>
        </w:tc>
        <w:tc>
          <w:tcPr>
            <w:tcW w:w="7655" w:type="dxa"/>
            <w:vAlign w:val="center"/>
          </w:tcPr>
          <w:p w14:paraId="734C593C"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POTENCIÁLNA BUDÚCA EXPOZÍCIA (PFE)</w:t>
            </w:r>
          </w:p>
          <w:p w14:paraId="53085A1E" w14:textId="77777777" w:rsidR="00EF74C7" w:rsidRPr="00CC28D3" w:rsidRDefault="00EF74C7" w:rsidP="00822842">
            <w:pPr>
              <w:keepNext/>
              <w:spacing w:before="60"/>
              <w:rPr>
                <w:rStyle w:val="InstructionsTabelleberschrift"/>
                <w:rFonts w:ascii="Times New Roman" w:hAnsi="Times New Roman"/>
                <w:sz w:val="24"/>
              </w:rPr>
            </w:pPr>
            <w:r w:rsidRPr="00CC28D3">
              <w:rPr>
                <w:rFonts w:ascii="Times New Roman" w:hAnsi="Times New Roman"/>
                <w:sz w:val="24"/>
              </w:rPr>
              <w:t>Inštitúcia vykazuje súčet PFE za všetky transakcie patriace do rovnakej kategórie rizika.</w:t>
            </w:r>
          </w:p>
        </w:tc>
      </w:tr>
      <w:tr w:rsidR="00EF74C7" w:rsidRPr="00CC28D3"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CC28D3" w:rsidRDefault="00EF74C7" w:rsidP="00822842">
            <w:pPr>
              <w:autoSpaceDE w:val="0"/>
              <w:autoSpaceDN w:val="0"/>
              <w:adjustRightInd w:val="0"/>
              <w:rPr>
                <w:rFonts w:ascii="Times New Roman" w:hAnsi="Times New Roman"/>
                <w:b/>
                <w:sz w:val="24"/>
              </w:rPr>
            </w:pPr>
            <w:r w:rsidRPr="00CC28D3">
              <w:rPr>
                <w:rFonts w:ascii="Times New Roman" w:hAnsi="Times New Roman"/>
                <w:b/>
                <w:sz w:val="24"/>
              </w:rPr>
              <w:lastRenderedPageBreak/>
              <w:t>Riadky</w:t>
            </w:r>
          </w:p>
        </w:tc>
      </w:tr>
      <w:tr w:rsidR="00EF74C7" w:rsidRPr="00CC28D3" w14:paraId="753D4ED0" w14:textId="77777777" w:rsidTr="00822842">
        <w:trPr>
          <w:trHeight w:val="680"/>
        </w:trPr>
        <w:tc>
          <w:tcPr>
            <w:tcW w:w="1384" w:type="dxa"/>
          </w:tcPr>
          <w:p w14:paraId="1FCDB527" w14:textId="77777777" w:rsidR="00EF74C7" w:rsidRPr="00CC28D3" w:rsidRDefault="00EF74C7" w:rsidP="00822842">
            <w:pPr>
              <w:pStyle w:val="Applicationdirecte"/>
              <w:spacing w:before="0" w:after="0"/>
            </w:pPr>
            <w:r w:rsidRPr="00CC28D3">
              <w:t>0020 – 0070</w:t>
            </w:r>
          </w:p>
        </w:tc>
        <w:tc>
          <w:tcPr>
            <w:tcW w:w="7655" w:type="dxa"/>
            <w:vAlign w:val="center"/>
          </w:tcPr>
          <w:p w14:paraId="31AB6B37"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KATEGÓRIE RIZIKA</w:t>
            </w:r>
          </w:p>
          <w:p w14:paraId="183CF2DA" w14:textId="674B1B73" w:rsidR="00EF74C7" w:rsidRPr="00CC28D3" w:rsidRDefault="00EF74C7" w:rsidP="00822842">
            <w:pPr>
              <w:keepNext/>
              <w:spacing w:before="60"/>
              <w:rPr>
                <w:rFonts w:ascii="Times New Roman" w:hAnsi="Times New Roman"/>
                <w:sz w:val="24"/>
              </w:rPr>
            </w:pPr>
            <w:r w:rsidRPr="00CC28D3">
              <w:rPr>
                <w:rFonts w:ascii="Times New Roman" w:hAnsi="Times New Roman"/>
                <w:sz w:val="24"/>
              </w:rPr>
              <w:t>Derivátové transakcie zaradené do kategórií rizika, ako sa uvádza</w:t>
            </w:r>
            <w:r w:rsidR="00CC28D3">
              <w:rPr>
                <w:rFonts w:ascii="Times New Roman" w:hAnsi="Times New Roman"/>
                <w:sz w:val="24"/>
              </w:rPr>
              <w:t xml:space="preserve"> v </w:t>
            </w:r>
            <w:r w:rsidRPr="00CC28D3">
              <w:rPr>
                <w:rFonts w:ascii="Times New Roman" w:hAnsi="Times New Roman"/>
                <w:sz w:val="24"/>
              </w:rPr>
              <w:t xml:space="preserve">článku 282 ods. 4 písm. b) nariadenia (EÚ) </w:t>
            </w:r>
            <w:r w:rsidR="00CC28D3">
              <w:rPr>
                <w:rFonts w:ascii="Times New Roman" w:hAnsi="Times New Roman"/>
                <w:sz w:val="24"/>
              </w:rPr>
              <w:t>č. </w:t>
            </w:r>
            <w:r w:rsidRPr="00CC28D3">
              <w:rPr>
                <w:rFonts w:ascii="Times New Roman" w:hAnsi="Times New Roman"/>
                <w:sz w:val="24"/>
              </w:rPr>
              <w:t>575/2013.</w:t>
            </w:r>
          </w:p>
        </w:tc>
      </w:tr>
    </w:tbl>
    <w:p w14:paraId="4C05758D" w14:textId="77777777" w:rsidR="00EF74C7" w:rsidRPr="00CC28D3" w:rsidRDefault="00EF74C7" w:rsidP="00EF74C7">
      <w:pPr>
        <w:tabs>
          <w:tab w:val="left" w:pos="1430"/>
        </w:tabs>
        <w:rPr>
          <w:rFonts w:ascii="Times New Roman" w:hAnsi="Times New Roman"/>
        </w:rPr>
      </w:pPr>
    </w:p>
    <w:p w14:paraId="087B82F5" w14:textId="60EA1724" w:rsidR="00EF74C7" w:rsidRPr="00CC28D3"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sidRPr="00CC28D3">
        <w:rPr>
          <w:rFonts w:ascii="Times New Roman" w:hAnsi="Times New Roman"/>
          <w:sz w:val="24"/>
        </w:rPr>
        <w:t>C 34.05 –⁠ Expozície voči CCR,</w:t>
      </w:r>
      <w:r w:rsidR="00CC28D3">
        <w:rPr>
          <w:rFonts w:ascii="Times New Roman" w:hAnsi="Times New Roman"/>
          <w:sz w:val="24"/>
        </w:rPr>
        <w:t xml:space="preserve"> s </w:t>
      </w:r>
      <w:r w:rsidRPr="00CC28D3">
        <w:rPr>
          <w:rFonts w:ascii="Times New Roman" w:hAnsi="Times New Roman"/>
          <w:sz w:val="24"/>
        </w:rPr>
        <w:t>ktorými sa zaobchádza podľa metódy interných modelov (IMM)</w:t>
      </w:r>
      <w:bookmarkEnd w:id="38"/>
      <w:bookmarkEnd w:id="39"/>
    </w:p>
    <w:p w14:paraId="055BB797"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sidRPr="00CC28D3">
        <w:rPr>
          <w:rFonts w:ascii="Times New Roman" w:hAnsi="Times New Roman"/>
          <w:sz w:val="24"/>
        </w:rPr>
        <w:t>Pokyny týkajúce sa konkrétnych pozícií</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2A1FFA92" w14:textId="77777777" w:rsidTr="00822842">
        <w:trPr>
          <w:trHeight w:val="238"/>
        </w:trPr>
        <w:tc>
          <w:tcPr>
            <w:tcW w:w="9039" w:type="dxa"/>
            <w:gridSpan w:val="2"/>
            <w:shd w:val="clear" w:color="auto" w:fill="D9D9D9" w:themeFill="background1" w:themeFillShade="D9"/>
          </w:tcPr>
          <w:p w14:paraId="2A9ED361" w14:textId="77777777" w:rsidR="00EF74C7" w:rsidRPr="00CC28D3" w:rsidRDefault="00EF74C7" w:rsidP="00822842">
            <w:pPr>
              <w:autoSpaceDE w:val="0"/>
              <w:autoSpaceDN w:val="0"/>
              <w:adjustRightInd w:val="0"/>
              <w:rPr>
                <w:rFonts w:ascii="Times New Roman" w:hAnsi="Times New Roman"/>
                <w:b/>
                <w:sz w:val="24"/>
              </w:rPr>
            </w:pPr>
            <w:r w:rsidRPr="00CC28D3">
              <w:rPr>
                <w:rFonts w:ascii="Times New Roman" w:hAnsi="Times New Roman"/>
                <w:b/>
                <w:sz w:val="24"/>
              </w:rPr>
              <w:t>Stĺpce</w:t>
            </w:r>
          </w:p>
        </w:tc>
      </w:tr>
      <w:tr w:rsidR="00EF74C7" w:rsidRPr="00CC28D3" w14:paraId="38FC6FA5" w14:textId="77777777" w:rsidTr="00822842">
        <w:trPr>
          <w:trHeight w:val="680"/>
        </w:trPr>
        <w:tc>
          <w:tcPr>
            <w:tcW w:w="1384" w:type="dxa"/>
          </w:tcPr>
          <w:p w14:paraId="27DC6DB6" w14:textId="77777777" w:rsidR="00EF74C7" w:rsidRPr="00CC28D3" w:rsidRDefault="00EF74C7" w:rsidP="00822842">
            <w:pPr>
              <w:pStyle w:val="Applicationdirecte"/>
              <w:spacing w:before="0" w:after="0"/>
            </w:pPr>
            <w:r w:rsidRPr="00CC28D3">
              <w:t>00010 – 0080</w:t>
            </w:r>
          </w:p>
        </w:tc>
        <w:tc>
          <w:tcPr>
            <w:tcW w:w="7655" w:type="dxa"/>
            <w:vAlign w:val="center"/>
          </w:tcPr>
          <w:p w14:paraId="24371DE2" w14:textId="77777777" w:rsid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 DOHODOU</w:t>
            </w:r>
            <w:r w:rsidR="00CC28D3">
              <w:rPr>
                <w:rStyle w:val="InstructionsTabelleberschrift"/>
                <w:rFonts w:ascii="Times New Roman" w:hAnsi="Times New Roman"/>
                <w:sz w:val="24"/>
              </w:rPr>
              <w:t xml:space="preserve"> O </w:t>
            </w:r>
            <w:r w:rsidRPr="00CC28D3">
              <w:rPr>
                <w:rStyle w:val="InstructionsTabelleberschrift"/>
                <w:rFonts w:ascii="Times New Roman" w:hAnsi="Times New Roman"/>
                <w:sz w:val="24"/>
              </w:rPr>
              <w:t>DOZABEZPEČENÍ</w:t>
            </w:r>
          </w:p>
          <w:p w14:paraId="44743405" w14:textId="7971F7AA" w:rsidR="00EF74C7" w:rsidRPr="00CC28D3" w:rsidRDefault="00EF74C7" w:rsidP="00822842">
            <w:pPr>
              <w:keepNext/>
              <w:spacing w:before="60"/>
              <w:rPr>
                <w:rFonts w:ascii="Times New Roman" w:hAnsi="Times New Roman"/>
                <w:strike/>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riadku 0130 vo vzore C 34.02.</w:t>
            </w:r>
          </w:p>
        </w:tc>
      </w:tr>
      <w:tr w:rsidR="00EF74C7" w:rsidRPr="00CC28D3" w14:paraId="2E882AEE" w14:textId="77777777" w:rsidTr="00822842">
        <w:trPr>
          <w:trHeight w:val="680"/>
        </w:trPr>
        <w:tc>
          <w:tcPr>
            <w:tcW w:w="1384" w:type="dxa"/>
          </w:tcPr>
          <w:p w14:paraId="4753DFE3" w14:textId="77777777" w:rsidR="00EF74C7" w:rsidRPr="00CC28D3" w:rsidRDefault="00EF74C7" w:rsidP="00822842">
            <w:pPr>
              <w:pStyle w:val="Applicationdirecte"/>
              <w:spacing w:before="0" w:after="0"/>
            </w:pPr>
            <w:r w:rsidRPr="00CC28D3">
              <w:t>0090 – 0160</w:t>
            </w:r>
          </w:p>
        </w:tc>
        <w:tc>
          <w:tcPr>
            <w:tcW w:w="7655" w:type="dxa"/>
            <w:vAlign w:val="center"/>
          </w:tcPr>
          <w:p w14:paraId="2C1C3992" w14:textId="77777777" w:rsid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BEZ DOHODY</w:t>
            </w:r>
            <w:r w:rsidR="00CC28D3">
              <w:rPr>
                <w:rStyle w:val="InstructionsTabelleberschrift"/>
                <w:rFonts w:ascii="Times New Roman" w:hAnsi="Times New Roman"/>
                <w:sz w:val="24"/>
              </w:rPr>
              <w:t xml:space="preserve"> O </w:t>
            </w:r>
            <w:r w:rsidRPr="00CC28D3">
              <w:rPr>
                <w:rStyle w:val="InstructionsTabelleberschrift"/>
                <w:rFonts w:ascii="Times New Roman" w:hAnsi="Times New Roman"/>
                <w:sz w:val="24"/>
              </w:rPr>
              <w:t>DOZABEZPEČENÍ</w:t>
            </w:r>
          </w:p>
          <w:p w14:paraId="3E0059F7" w14:textId="71823AF2" w:rsidR="00EF74C7" w:rsidRPr="00CC28D3" w:rsidRDefault="00EF74C7" w:rsidP="00822842">
            <w:pPr>
              <w:keepNext/>
              <w:spacing w:before="60"/>
              <w:rPr>
                <w:rFonts w:ascii="Times New Roman" w:hAnsi="Times New Roman"/>
                <w:strike/>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riadku 0140 vo vzore C 34.02.</w:t>
            </w:r>
          </w:p>
        </w:tc>
      </w:tr>
      <w:tr w:rsidR="00EF74C7" w:rsidRPr="00CC28D3" w14:paraId="11088642" w14:textId="77777777" w:rsidTr="00822842">
        <w:trPr>
          <w:trHeight w:val="680"/>
        </w:trPr>
        <w:tc>
          <w:tcPr>
            <w:tcW w:w="1384" w:type="dxa"/>
          </w:tcPr>
          <w:p w14:paraId="38E3A9E7" w14:textId="77777777" w:rsidR="00EF74C7" w:rsidRPr="00CC28D3" w:rsidRDefault="00EF74C7" w:rsidP="00822842">
            <w:pPr>
              <w:pStyle w:val="Applicationdirecte"/>
              <w:spacing w:before="0" w:after="0"/>
              <w:jc w:val="left"/>
            </w:pPr>
            <w:r w:rsidRPr="00CC28D3">
              <w:t>0010, 0090</w:t>
            </w:r>
          </w:p>
        </w:tc>
        <w:tc>
          <w:tcPr>
            <w:tcW w:w="7655" w:type="dxa"/>
            <w:vAlign w:val="center"/>
          </w:tcPr>
          <w:p w14:paraId="1B4477D4" w14:textId="77777777" w:rsid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POČET TRANSAKCIÍ</w:t>
            </w:r>
          </w:p>
          <w:p w14:paraId="5C4653C5" w14:textId="51D95FFE" w:rsidR="00EF74C7" w:rsidRPr="00CC28D3" w:rsidRDefault="00EF74C7" w:rsidP="00822842">
            <w:pPr>
              <w:keepNext/>
              <w:spacing w:before="60"/>
              <w:rPr>
                <w:rFonts w:ascii="Times New Roman" w:hAnsi="Times New Roman"/>
                <w:strike/>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0020 vo vzore C 34.02.</w:t>
            </w:r>
          </w:p>
        </w:tc>
      </w:tr>
      <w:tr w:rsidR="00EF74C7" w:rsidRPr="00CC28D3" w14:paraId="2A1C3305" w14:textId="77777777" w:rsidTr="00822842">
        <w:trPr>
          <w:trHeight w:val="680"/>
        </w:trPr>
        <w:tc>
          <w:tcPr>
            <w:tcW w:w="1384" w:type="dxa"/>
          </w:tcPr>
          <w:p w14:paraId="0F1355B7" w14:textId="77777777" w:rsidR="00EF74C7" w:rsidRPr="00CC28D3" w:rsidRDefault="00EF74C7" w:rsidP="00822842">
            <w:pPr>
              <w:pStyle w:val="Applicationdirecte"/>
              <w:spacing w:before="0" w:after="0"/>
              <w:jc w:val="left"/>
            </w:pPr>
            <w:r w:rsidRPr="00CC28D3">
              <w:t>0020, 0100</w:t>
            </w:r>
          </w:p>
        </w:tc>
        <w:tc>
          <w:tcPr>
            <w:tcW w:w="7655" w:type="dxa"/>
            <w:vAlign w:val="center"/>
          </w:tcPr>
          <w:p w14:paraId="5614C802" w14:textId="77777777" w:rsid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POMYSELNÉ HODNOTY</w:t>
            </w:r>
          </w:p>
          <w:p w14:paraId="75787B39" w14:textId="2CB5D0B7" w:rsidR="00EF74C7" w:rsidRPr="00CC28D3" w:rsidRDefault="00EF74C7" w:rsidP="00822842">
            <w:pPr>
              <w:keepNext/>
              <w:spacing w:before="60"/>
              <w:rPr>
                <w:rFonts w:ascii="Times New Roman" w:hAnsi="Times New Roman"/>
                <w:i/>
                <w:strike/>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0030 vo vzore C 34.02.</w:t>
            </w:r>
          </w:p>
        </w:tc>
      </w:tr>
      <w:tr w:rsidR="00EF74C7" w:rsidRPr="00CC28D3" w14:paraId="07CB3F2E" w14:textId="77777777" w:rsidTr="00822842">
        <w:trPr>
          <w:trHeight w:val="680"/>
        </w:trPr>
        <w:tc>
          <w:tcPr>
            <w:tcW w:w="1384" w:type="dxa"/>
          </w:tcPr>
          <w:p w14:paraId="16DDFD4B" w14:textId="77777777" w:rsidR="00EF74C7" w:rsidRPr="00CC28D3" w:rsidRDefault="00EF74C7" w:rsidP="00822842">
            <w:pPr>
              <w:pStyle w:val="Applicationdirecte"/>
              <w:spacing w:before="0" w:after="0"/>
              <w:jc w:val="left"/>
            </w:pPr>
            <w:r w:rsidRPr="00CC28D3">
              <w:t>0030, 0110</w:t>
            </w:r>
          </w:p>
        </w:tc>
        <w:tc>
          <w:tcPr>
            <w:tcW w:w="7655" w:type="dxa"/>
            <w:vAlign w:val="center"/>
          </w:tcPr>
          <w:p w14:paraId="5D4ADBBE"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SÚČASNÁ TRHOVÁ HODNOTA (CMV), KLADNÁ</w:t>
            </w:r>
          </w:p>
          <w:p w14:paraId="1BDCFC64" w14:textId="0420705D" w:rsidR="00EF74C7" w:rsidRPr="00CC28D3" w:rsidRDefault="00EF74C7" w:rsidP="00822842">
            <w:pPr>
              <w:keepNext/>
              <w:spacing w:before="60"/>
              <w:rPr>
                <w:rFonts w:ascii="Times New Roman" w:hAnsi="Times New Roman"/>
                <w:sz w:val="24"/>
              </w:rPr>
            </w:pPr>
            <w:r w:rsidRPr="00CC28D3">
              <w:rPr>
                <w:rFonts w:ascii="Times New Roman" w:hAnsi="Times New Roman"/>
                <w:sz w:val="24"/>
              </w:rPr>
              <w:t>Súčet súčasných trhových hodnôt (CMV) všetkých transakcií</w:t>
            </w:r>
            <w:r w:rsidR="00CC28D3">
              <w:rPr>
                <w:rFonts w:ascii="Times New Roman" w:hAnsi="Times New Roman"/>
                <w:sz w:val="24"/>
              </w:rPr>
              <w:t xml:space="preserve"> s </w:t>
            </w:r>
            <w:r w:rsidRPr="00CC28D3">
              <w:rPr>
                <w:rFonts w:ascii="Times New Roman" w:hAnsi="Times New Roman"/>
                <w:sz w:val="24"/>
              </w:rPr>
              <w:t>kladnou CMV, ktoré patria do rovnakej triedy aktív.</w:t>
            </w:r>
          </w:p>
        </w:tc>
      </w:tr>
      <w:tr w:rsidR="00EF74C7" w:rsidRPr="00CC28D3" w14:paraId="1D55DF7C" w14:textId="77777777" w:rsidTr="00822842">
        <w:trPr>
          <w:trHeight w:val="680"/>
        </w:trPr>
        <w:tc>
          <w:tcPr>
            <w:tcW w:w="1384" w:type="dxa"/>
          </w:tcPr>
          <w:p w14:paraId="1B4379B1" w14:textId="77777777" w:rsidR="00EF74C7" w:rsidRPr="00CC28D3" w:rsidRDefault="00EF74C7" w:rsidP="00822842">
            <w:pPr>
              <w:pStyle w:val="Applicationdirecte"/>
              <w:spacing w:before="0" w:after="0"/>
              <w:jc w:val="left"/>
            </w:pPr>
            <w:r w:rsidRPr="00CC28D3">
              <w:t>0040, 0120</w:t>
            </w:r>
          </w:p>
        </w:tc>
        <w:tc>
          <w:tcPr>
            <w:tcW w:w="7655" w:type="dxa"/>
            <w:vAlign w:val="center"/>
          </w:tcPr>
          <w:p w14:paraId="06A034B3"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SÚČASNÁ TRHOVÁ HODNOTA (CMV), ZÁPORNÁ</w:t>
            </w:r>
          </w:p>
          <w:p w14:paraId="4B126FBF" w14:textId="77777777" w:rsidR="00EF74C7" w:rsidRPr="00CC28D3" w:rsidRDefault="00EF74C7" w:rsidP="00822842">
            <w:pPr>
              <w:keepNext/>
              <w:spacing w:before="60"/>
              <w:rPr>
                <w:rStyle w:val="InstructionsTabelleberschrift"/>
                <w:rFonts w:ascii="Times New Roman" w:hAnsi="Times New Roman"/>
                <w:sz w:val="24"/>
              </w:rPr>
            </w:pPr>
            <w:r w:rsidRPr="00CC28D3">
              <w:rPr>
                <w:rFonts w:ascii="Times New Roman" w:hAnsi="Times New Roman"/>
                <w:sz w:val="24"/>
              </w:rPr>
              <w:t>Súčet absolútnych súčasných trhových hodnôt (CMV) všetkých transakcií so zápornou CMV, ktoré patria do rovnakej triedy aktív.</w:t>
            </w:r>
          </w:p>
        </w:tc>
      </w:tr>
      <w:tr w:rsidR="00EF74C7" w:rsidRPr="00CC28D3" w14:paraId="5443ACE2" w14:textId="77777777" w:rsidTr="00822842">
        <w:trPr>
          <w:trHeight w:val="680"/>
        </w:trPr>
        <w:tc>
          <w:tcPr>
            <w:tcW w:w="1384" w:type="dxa"/>
          </w:tcPr>
          <w:p w14:paraId="026B5D82" w14:textId="77777777" w:rsidR="00EF74C7" w:rsidRPr="00CC28D3" w:rsidRDefault="00EF74C7" w:rsidP="00822842">
            <w:pPr>
              <w:pStyle w:val="Applicationdirecte"/>
              <w:spacing w:before="0" w:after="0"/>
              <w:jc w:val="left"/>
            </w:pPr>
            <w:r w:rsidRPr="00CC28D3">
              <w:t>0050, 0130</w:t>
            </w:r>
          </w:p>
        </w:tc>
        <w:tc>
          <w:tcPr>
            <w:tcW w:w="7655" w:type="dxa"/>
            <w:vAlign w:val="center"/>
          </w:tcPr>
          <w:p w14:paraId="6BEF0650"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AKTUÁLNA EXPOZÍCIA</w:t>
            </w:r>
          </w:p>
          <w:p w14:paraId="4BD20CD9" w14:textId="3986BD2C" w:rsidR="00EF74C7" w:rsidRPr="00CC28D3" w:rsidRDefault="00EF74C7" w:rsidP="00822842">
            <w:pPr>
              <w:keepNext/>
              <w:spacing w:before="60"/>
              <w:rPr>
                <w:rFonts w:ascii="Times New Roman" w:hAnsi="Times New Roman"/>
                <w:strike/>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0120 vo vzore C 34.02.</w:t>
            </w:r>
          </w:p>
        </w:tc>
      </w:tr>
      <w:tr w:rsidR="00EF74C7" w:rsidRPr="00CC28D3" w14:paraId="33A01D3A" w14:textId="77777777" w:rsidTr="00822842">
        <w:trPr>
          <w:trHeight w:val="680"/>
        </w:trPr>
        <w:tc>
          <w:tcPr>
            <w:tcW w:w="1384" w:type="dxa"/>
          </w:tcPr>
          <w:p w14:paraId="434C41F4" w14:textId="77777777" w:rsidR="00EF74C7" w:rsidRPr="00CC28D3" w:rsidRDefault="00EF74C7" w:rsidP="00822842">
            <w:pPr>
              <w:pStyle w:val="Applicationdirecte"/>
              <w:spacing w:before="0" w:after="0"/>
              <w:jc w:val="left"/>
            </w:pPr>
            <w:r w:rsidRPr="00CC28D3">
              <w:t>0060, 0140</w:t>
            </w:r>
          </w:p>
        </w:tc>
        <w:tc>
          <w:tcPr>
            <w:tcW w:w="7655" w:type="dxa"/>
            <w:vAlign w:val="center"/>
          </w:tcPr>
          <w:p w14:paraId="5F8AFE09"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EFEKTÍVNA OČAKÁVANÁ POZITÍVNA EXPOZÍCIA (EEPE)</w:t>
            </w:r>
          </w:p>
          <w:p w14:paraId="72409BA6" w14:textId="7919DC0F" w:rsidR="00EF74C7" w:rsidRPr="00CC28D3" w:rsidRDefault="00EF74C7" w:rsidP="00822842">
            <w:pPr>
              <w:pStyle w:val="Default"/>
              <w:spacing w:after="120"/>
              <w:jc w:val="both"/>
              <w:rPr>
                <w:rFonts w:ascii="Times New Roman" w:hAnsi="Times New Roman" w:cs="Times New Roman"/>
                <w:strike/>
                <w:color w:val="auto"/>
              </w:rPr>
            </w:pPr>
            <w:r w:rsidRPr="00CC28D3">
              <w:rPr>
                <w:rFonts w:ascii="Times New Roman" w:hAnsi="Times New Roman"/>
                <w:color w:val="auto"/>
              </w:rPr>
              <w:t>Pozri pokyny</w:t>
            </w:r>
            <w:r w:rsidR="00CC28D3">
              <w:rPr>
                <w:rFonts w:ascii="Times New Roman" w:hAnsi="Times New Roman"/>
                <w:color w:val="auto"/>
              </w:rPr>
              <w:t xml:space="preserve"> k </w:t>
            </w:r>
            <w:r w:rsidRPr="00CC28D3">
              <w:rPr>
                <w:rFonts w:ascii="Times New Roman" w:hAnsi="Times New Roman"/>
                <w:color w:val="auto"/>
              </w:rPr>
              <w:t>stĺpcu 0130 vo vzore C 34.02.</w:t>
            </w:r>
          </w:p>
        </w:tc>
      </w:tr>
      <w:tr w:rsidR="00EF74C7" w:rsidRPr="00CC28D3" w14:paraId="1D10918D" w14:textId="77777777" w:rsidTr="00822842">
        <w:trPr>
          <w:trHeight w:val="680"/>
        </w:trPr>
        <w:tc>
          <w:tcPr>
            <w:tcW w:w="1384" w:type="dxa"/>
          </w:tcPr>
          <w:p w14:paraId="208DFF88" w14:textId="77777777" w:rsidR="00EF74C7" w:rsidRPr="00CC28D3" w:rsidRDefault="00EF74C7" w:rsidP="00822842">
            <w:pPr>
              <w:pStyle w:val="Applicationdirecte"/>
              <w:spacing w:before="0" w:after="0"/>
              <w:jc w:val="left"/>
            </w:pPr>
            <w:r w:rsidRPr="00CC28D3">
              <w:t>0070, 0150</w:t>
            </w:r>
          </w:p>
        </w:tc>
        <w:tc>
          <w:tcPr>
            <w:tcW w:w="7655" w:type="dxa"/>
            <w:vAlign w:val="center"/>
          </w:tcPr>
          <w:p w14:paraId="0290C67F" w14:textId="73976F42"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EEPE</w:t>
            </w:r>
            <w:r w:rsidR="00CC28D3">
              <w:rPr>
                <w:rStyle w:val="InstructionsTabelleberschrift"/>
                <w:rFonts w:ascii="Times New Roman" w:hAnsi="Times New Roman"/>
                <w:sz w:val="24"/>
              </w:rPr>
              <w:t xml:space="preserve"> V </w:t>
            </w:r>
            <w:r w:rsidRPr="00CC28D3">
              <w:rPr>
                <w:rStyle w:val="InstructionsTabelleberschrift"/>
                <w:rFonts w:ascii="Times New Roman" w:hAnsi="Times New Roman"/>
                <w:sz w:val="24"/>
              </w:rPr>
              <w:t>STRESOVÝCH PODMIENKACH</w:t>
            </w:r>
          </w:p>
          <w:p w14:paraId="071BB18F" w14:textId="22C31D46" w:rsidR="00EF74C7" w:rsidRPr="00CC28D3" w:rsidRDefault="00EF74C7" w:rsidP="00822842">
            <w:pPr>
              <w:keepNext/>
              <w:spacing w:before="60"/>
              <w:rPr>
                <w:rFonts w:ascii="Times New Roman" w:hAnsi="Times New Roman"/>
                <w:sz w:val="24"/>
              </w:rPr>
            </w:pPr>
            <w:r w:rsidRPr="00CC28D3">
              <w:rPr>
                <w:rFonts w:ascii="Times New Roman" w:hAnsi="Times New Roman"/>
                <w:sz w:val="24"/>
              </w:rPr>
              <w:t>Článok 284 ods. 6</w:t>
            </w:r>
            <w:r w:rsidR="00CC28D3">
              <w:rPr>
                <w:rFonts w:ascii="Times New Roman" w:hAnsi="Times New Roman"/>
                <w:sz w:val="24"/>
              </w:rPr>
              <w:t xml:space="preserve"> a </w:t>
            </w:r>
            <w:r w:rsidRPr="00CC28D3">
              <w:rPr>
                <w:rFonts w:ascii="Times New Roman" w:hAnsi="Times New Roman"/>
                <w:sz w:val="24"/>
              </w:rPr>
              <w:t xml:space="preserve">článok 292 ods. 2 nariadenia (EÚ) </w:t>
            </w:r>
            <w:r w:rsidR="00CC28D3">
              <w:rPr>
                <w:rFonts w:ascii="Times New Roman" w:hAnsi="Times New Roman"/>
                <w:sz w:val="24"/>
              </w:rPr>
              <w:t>č. </w:t>
            </w:r>
            <w:r w:rsidRPr="00CC28D3">
              <w:rPr>
                <w:rFonts w:ascii="Times New Roman" w:hAnsi="Times New Roman"/>
                <w:sz w:val="24"/>
              </w:rPr>
              <w:t>575/2013</w:t>
            </w:r>
          </w:p>
          <w:p w14:paraId="4C777000" w14:textId="28EC5C5C" w:rsidR="00EF74C7" w:rsidRPr="00CC28D3" w:rsidRDefault="00EF74C7" w:rsidP="00822842">
            <w:pPr>
              <w:keepNext/>
              <w:spacing w:before="60"/>
              <w:rPr>
                <w:rFonts w:ascii="Times New Roman" w:hAnsi="Times New Roman"/>
                <w:sz w:val="24"/>
              </w:rPr>
            </w:pPr>
            <w:r w:rsidRPr="00CC28D3">
              <w:rPr>
                <w:rFonts w:ascii="Times New Roman" w:hAnsi="Times New Roman"/>
                <w:sz w:val="24"/>
              </w:rPr>
              <w:t>EEPE</w:t>
            </w:r>
            <w:r w:rsidR="00CC28D3">
              <w:rPr>
                <w:rFonts w:ascii="Times New Roman" w:hAnsi="Times New Roman"/>
                <w:sz w:val="24"/>
              </w:rPr>
              <w:t xml:space="preserve"> v </w:t>
            </w:r>
            <w:r w:rsidRPr="00CC28D3">
              <w:rPr>
                <w:rFonts w:ascii="Times New Roman" w:hAnsi="Times New Roman"/>
                <w:sz w:val="24"/>
              </w:rPr>
              <w:t>stresových podmienkach sa vypočítava analogicky</w:t>
            </w:r>
            <w:r w:rsidR="00CC28D3">
              <w:rPr>
                <w:rFonts w:ascii="Times New Roman" w:hAnsi="Times New Roman"/>
                <w:sz w:val="24"/>
              </w:rPr>
              <w:t xml:space="preserve"> k </w:t>
            </w:r>
            <w:r w:rsidRPr="00CC28D3">
              <w:rPr>
                <w:rFonts w:ascii="Times New Roman" w:hAnsi="Times New Roman"/>
                <w:sz w:val="24"/>
              </w:rPr>
              <w:t xml:space="preserve">EEPE [článok 284 ods. 6 nariadenia (EÚ) </w:t>
            </w:r>
            <w:r w:rsidR="00CC28D3">
              <w:rPr>
                <w:rFonts w:ascii="Times New Roman" w:hAnsi="Times New Roman"/>
                <w:sz w:val="24"/>
              </w:rPr>
              <w:t>č. </w:t>
            </w:r>
            <w:r w:rsidRPr="00CC28D3">
              <w:rPr>
                <w:rFonts w:ascii="Times New Roman" w:hAnsi="Times New Roman"/>
                <w:sz w:val="24"/>
              </w:rPr>
              <w:t>575/2013], ale pomocou stresovej kalibrácie</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292 ods. 2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2950463C" w14:textId="77777777" w:rsidTr="00822842">
        <w:trPr>
          <w:trHeight w:val="680"/>
        </w:trPr>
        <w:tc>
          <w:tcPr>
            <w:tcW w:w="1384" w:type="dxa"/>
          </w:tcPr>
          <w:p w14:paraId="1FAC8572" w14:textId="77777777" w:rsidR="00EF74C7" w:rsidRPr="00CC28D3" w:rsidRDefault="00EF74C7" w:rsidP="00822842">
            <w:pPr>
              <w:pStyle w:val="Applicationdirecte"/>
              <w:spacing w:before="0" w:after="0"/>
              <w:jc w:val="left"/>
            </w:pPr>
            <w:r w:rsidRPr="00CC28D3">
              <w:lastRenderedPageBreak/>
              <w:t>0080, 0160,0170</w:t>
            </w:r>
          </w:p>
        </w:tc>
        <w:tc>
          <w:tcPr>
            <w:tcW w:w="7655" w:type="dxa"/>
            <w:vAlign w:val="center"/>
          </w:tcPr>
          <w:p w14:paraId="38883B3C"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HODNOTA EXPOZÍCIE</w:t>
            </w:r>
          </w:p>
          <w:p w14:paraId="5D5537F3" w14:textId="7DF64EFE" w:rsidR="00EF74C7" w:rsidRPr="00CC28D3" w:rsidRDefault="00EF74C7" w:rsidP="00822842">
            <w:pPr>
              <w:keepNext/>
              <w:spacing w:before="60"/>
              <w:rPr>
                <w:rStyle w:val="InstructionsTabelleberschrift"/>
                <w:rFonts w:ascii="Times New Roman" w:hAnsi="Times New Roman"/>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0170 vo vzore C 34.02.</w:t>
            </w:r>
          </w:p>
        </w:tc>
      </w:tr>
      <w:tr w:rsidR="00EF74C7" w:rsidRPr="00CC28D3" w14:paraId="1DF28D0B" w14:textId="77777777" w:rsidTr="00822842">
        <w:trPr>
          <w:trHeight w:val="680"/>
        </w:trPr>
        <w:tc>
          <w:tcPr>
            <w:tcW w:w="9039" w:type="dxa"/>
            <w:gridSpan w:val="2"/>
            <w:tcBorders>
              <w:left w:val="nil"/>
              <w:right w:val="nil"/>
            </w:tcBorders>
          </w:tcPr>
          <w:p w14:paraId="07A3474A" w14:textId="77777777" w:rsidR="00EF74C7" w:rsidRPr="00CC28D3" w:rsidDel="00291448" w:rsidRDefault="00EF74C7" w:rsidP="00822842">
            <w:pPr>
              <w:rPr>
                <w:rFonts w:ascii="Times New Roman" w:hAnsi="Times New Roman"/>
                <w:sz w:val="24"/>
              </w:rPr>
            </w:pPr>
          </w:p>
        </w:tc>
      </w:tr>
      <w:tr w:rsidR="00EF74C7" w:rsidRPr="00CC28D3"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CC28D3" w:rsidRDefault="00EF74C7" w:rsidP="00822842">
            <w:pPr>
              <w:pStyle w:val="Applicationdirecte"/>
              <w:spacing w:before="0"/>
              <w:jc w:val="left"/>
              <w:rPr>
                <w:b/>
              </w:rPr>
            </w:pPr>
            <w:r w:rsidRPr="00CC28D3">
              <w:rPr>
                <w:b/>
              </w:rPr>
              <w:t xml:space="preserve">Riadok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CC28D3" w:rsidRDefault="00EF74C7" w:rsidP="00822842">
            <w:pPr>
              <w:pStyle w:val="TableMainHeading"/>
              <w:spacing w:before="60"/>
              <w:rPr>
                <w:rFonts w:ascii="Times New Roman" w:hAnsi="Times New Roman"/>
                <w:b/>
                <w:sz w:val="24"/>
                <w:szCs w:val="24"/>
              </w:rPr>
            </w:pPr>
            <w:r w:rsidRPr="00CC28D3">
              <w:rPr>
                <w:rFonts w:ascii="Times New Roman" w:hAnsi="Times New Roman"/>
                <w:b/>
                <w:sz w:val="24"/>
              </w:rPr>
              <w:t xml:space="preserve">Vysvetlenie </w:t>
            </w:r>
          </w:p>
        </w:tc>
      </w:tr>
      <w:tr w:rsidR="00EF74C7" w:rsidRPr="00CC28D3" w14:paraId="09B9D5F2" w14:textId="77777777" w:rsidTr="00822842">
        <w:trPr>
          <w:trHeight w:val="426"/>
        </w:trPr>
        <w:tc>
          <w:tcPr>
            <w:tcW w:w="1384" w:type="dxa"/>
          </w:tcPr>
          <w:p w14:paraId="4740A097" w14:textId="77777777" w:rsidR="00EF74C7" w:rsidRPr="00CC28D3" w:rsidRDefault="00EF74C7" w:rsidP="00822842">
            <w:pPr>
              <w:pStyle w:val="Applicationdirecte"/>
              <w:spacing w:before="0" w:after="0"/>
            </w:pPr>
            <w:r w:rsidRPr="00CC28D3">
              <w:t>0010</w:t>
            </w:r>
          </w:p>
        </w:tc>
        <w:tc>
          <w:tcPr>
            <w:tcW w:w="7655" w:type="dxa"/>
          </w:tcPr>
          <w:p w14:paraId="09105C25" w14:textId="77777777" w:rsid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SPOLU</w:t>
            </w:r>
          </w:p>
          <w:p w14:paraId="43496D3B" w14:textId="2A90B061" w:rsidR="00EF74C7" w:rsidRPr="00CC28D3" w:rsidRDefault="00EF74C7" w:rsidP="00822842">
            <w:pPr>
              <w:keepNext/>
              <w:spacing w:before="60"/>
              <w:rPr>
                <w:sz w:val="24"/>
              </w:rPr>
            </w:pPr>
            <w:r w:rsidRPr="00CC28D3">
              <w:rPr>
                <w:rFonts w:ascii="Times New Roman" w:hAnsi="Times New Roman"/>
                <w:sz w:val="24"/>
              </w:rPr>
              <w:t xml:space="preserve">Článok 283 nariadenia (EÚ) </w:t>
            </w:r>
            <w:r w:rsidR="00CC28D3">
              <w:rPr>
                <w:rFonts w:ascii="Times New Roman" w:hAnsi="Times New Roman"/>
                <w:sz w:val="24"/>
              </w:rPr>
              <w:t>č. </w:t>
            </w:r>
            <w:r w:rsidRPr="00CC28D3">
              <w:rPr>
                <w:rFonts w:ascii="Times New Roman" w:hAnsi="Times New Roman"/>
                <w:sz w:val="24"/>
              </w:rPr>
              <w:t>575/2013</w:t>
            </w:r>
          </w:p>
          <w:p w14:paraId="72F05A01" w14:textId="108A0B99" w:rsidR="00EF74C7" w:rsidRPr="00CC28D3" w:rsidRDefault="00EF74C7" w:rsidP="00822842">
            <w:pPr>
              <w:rPr>
                <w:sz w:val="24"/>
              </w:rPr>
            </w:pPr>
            <w:r w:rsidRPr="00CC28D3">
              <w:rPr>
                <w:rFonts w:ascii="Times New Roman" w:hAnsi="Times New Roman"/>
                <w:sz w:val="24"/>
              </w:rPr>
              <w:t>Inštitúcia vykazuje príslušné informácie týkajúce sa derivátov, transakcií</w:t>
            </w:r>
            <w:r w:rsidR="00CC28D3">
              <w:rPr>
                <w:rFonts w:ascii="Times New Roman" w:hAnsi="Times New Roman"/>
                <w:sz w:val="24"/>
              </w:rPr>
              <w:t xml:space="preserve"> s </w:t>
            </w:r>
            <w:r w:rsidRPr="00CC28D3">
              <w:rPr>
                <w:rFonts w:ascii="Times New Roman" w:hAnsi="Times New Roman"/>
                <w:sz w:val="24"/>
              </w:rPr>
              <w:t>dlhou dobou vyrovnania</w:t>
            </w:r>
            <w:r w:rsidR="00CC28D3">
              <w:rPr>
                <w:rFonts w:ascii="Times New Roman" w:hAnsi="Times New Roman"/>
                <w:sz w:val="24"/>
              </w:rPr>
              <w:t xml:space="preserve"> a </w:t>
            </w:r>
            <w:r w:rsidRPr="00CC28D3">
              <w:rPr>
                <w:rFonts w:ascii="Times New Roman" w:hAnsi="Times New Roman"/>
                <w:sz w:val="24"/>
              </w:rPr>
              <w:t>SFT,</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inštitúcii povolilo určovať hodnotu expozície vypočítanú pomocou metódy interných modelov (IMM)</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283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61D3022A" w14:textId="77777777" w:rsidTr="00822842">
        <w:trPr>
          <w:trHeight w:val="829"/>
        </w:trPr>
        <w:tc>
          <w:tcPr>
            <w:tcW w:w="1384" w:type="dxa"/>
          </w:tcPr>
          <w:p w14:paraId="395168E0" w14:textId="77777777" w:rsidR="00EF74C7" w:rsidRPr="00CC28D3" w:rsidRDefault="00EF74C7" w:rsidP="00822842">
            <w:pPr>
              <w:pStyle w:val="Applicationdirecte"/>
              <w:spacing w:before="0" w:after="0"/>
            </w:pPr>
            <w:r w:rsidRPr="00CC28D3">
              <w:t>0020</w:t>
            </w:r>
          </w:p>
        </w:tc>
        <w:tc>
          <w:tcPr>
            <w:tcW w:w="7655" w:type="dxa"/>
          </w:tcPr>
          <w:p w14:paraId="0331298D"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Z čoho: pozície so špecifickým rizikom nesprávnej voľby (SWWR)</w:t>
            </w:r>
          </w:p>
          <w:p w14:paraId="1013C757" w14:textId="0263D84B" w:rsidR="00EF74C7" w:rsidRPr="00CC28D3" w:rsidRDefault="00EF74C7" w:rsidP="00822842">
            <w:pPr>
              <w:rPr>
                <w:rFonts w:ascii="Times New Roman" w:hAnsi="Times New Roman"/>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riadku 0120 vo vzore C 34.02.</w:t>
            </w:r>
          </w:p>
        </w:tc>
      </w:tr>
      <w:tr w:rsidR="00EF74C7" w:rsidRPr="00CC28D3" w14:paraId="53E2F2D0" w14:textId="77777777" w:rsidTr="00822842">
        <w:trPr>
          <w:trHeight w:val="842"/>
        </w:trPr>
        <w:tc>
          <w:tcPr>
            <w:tcW w:w="1384" w:type="dxa"/>
          </w:tcPr>
          <w:p w14:paraId="7706E084" w14:textId="77777777" w:rsidR="00EF74C7" w:rsidRPr="00CC28D3" w:rsidRDefault="00EF74C7" w:rsidP="00822842">
            <w:pPr>
              <w:pStyle w:val="Applicationdirecte"/>
              <w:spacing w:before="0" w:after="0"/>
              <w:jc w:val="left"/>
            </w:pPr>
            <w:r w:rsidRPr="00CC28D3">
              <w:t>0030</w:t>
            </w:r>
          </w:p>
        </w:tc>
        <w:tc>
          <w:tcPr>
            <w:tcW w:w="7655" w:type="dxa"/>
          </w:tcPr>
          <w:p w14:paraId="5DE0314C" w14:textId="44CC938A"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Súbory vzájomného započítavania,</w:t>
            </w:r>
            <w:r w:rsidR="00CC28D3">
              <w:rPr>
                <w:rStyle w:val="InstructionsTabelleberschrift"/>
                <w:rFonts w:ascii="Times New Roman" w:hAnsi="Times New Roman"/>
                <w:sz w:val="24"/>
              </w:rPr>
              <w:t xml:space="preserve"> s </w:t>
            </w:r>
            <w:r w:rsidRPr="00CC28D3">
              <w:rPr>
                <w:rStyle w:val="InstructionsTabelleberschrift"/>
                <w:rFonts w:ascii="Times New Roman" w:hAnsi="Times New Roman"/>
                <w:sz w:val="24"/>
              </w:rPr>
              <w:t>ktorými sa zaobchádza podľa štandardizovaného prístupu ku kapitálovým požiadavkám</w:t>
            </w:r>
          </w:p>
          <w:p w14:paraId="7CD0087F" w14:textId="3FB90E7C" w:rsidR="00EF74C7" w:rsidRPr="00CC28D3" w:rsidRDefault="00EF74C7" w:rsidP="00822842">
            <w:pPr>
              <w:rPr>
                <w:rStyle w:val="InstructionsTabelleberschrift"/>
                <w:rFonts w:ascii="Times New Roman" w:hAnsi="Times New Roman" w:cstheme="minorBidi"/>
                <w:b w:val="0"/>
                <w:bCs w:val="0"/>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0180 vo vzore C 34.02.</w:t>
            </w:r>
          </w:p>
        </w:tc>
      </w:tr>
      <w:tr w:rsidR="00EF74C7" w:rsidRPr="00CC28D3" w14:paraId="246949FB" w14:textId="77777777" w:rsidTr="00822842">
        <w:trPr>
          <w:trHeight w:val="839"/>
        </w:trPr>
        <w:tc>
          <w:tcPr>
            <w:tcW w:w="1384" w:type="dxa"/>
          </w:tcPr>
          <w:p w14:paraId="4489E702" w14:textId="77777777" w:rsidR="00EF74C7" w:rsidRPr="00CC28D3" w:rsidRDefault="00EF74C7" w:rsidP="00822842">
            <w:pPr>
              <w:pStyle w:val="Applicationdirecte"/>
              <w:spacing w:before="0" w:after="0"/>
              <w:jc w:val="left"/>
            </w:pPr>
            <w:r w:rsidRPr="00CC28D3">
              <w:t>0040</w:t>
            </w:r>
          </w:p>
        </w:tc>
        <w:tc>
          <w:tcPr>
            <w:tcW w:w="7655" w:type="dxa"/>
          </w:tcPr>
          <w:p w14:paraId="79702292" w14:textId="2A9C179D"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Súbory vzájomného započítavania,</w:t>
            </w:r>
            <w:r w:rsidR="00CC28D3">
              <w:rPr>
                <w:rStyle w:val="InstructionsTabelleberschrift"/>
                <w:rFonts w:ascii="Times New Roman" w:hAnsi="Times New Roman"/>
                <w:sz w:val="24"/>
              </w:rPr>
              <w:t xml:space="preserve"> s </w:t>
            </w:r>
            <w:r w:rsidRPr="00CC28D3">
              <w:rPr>
                <w:rStyle w:val="InstructionsTabelleberschrift"/>
                <w:rFonts w:ascii="Times New Roman" w:hAnsi="Times New Roman"/>
                <w:sz w:val="24"/>
              </w:rPr>
              <w:t>ktorými sa zaobchádza podľa prístupu CR IRB</w:t>
            </w:r>
          </w:p>
          <w:p w14:paraId="5DEB3BFD" w14:textId="3930EE68" w:rsidR="00EF74C7" w:rsidRPr="00CC28D3" w:rsidRDefault="00EF74C7" w:rsidP="00822842">
            <w:pPr>
              <w:rPr>
                <w:rStyle w:val="InstructionsTabelleberschrift"/>
                <w:rFonts w:ascii="Times New Roman" w:hAnsi="Times New Roman" w:cstheme="minorBidi"/>
                <w:b w:val="0"/>
                <w:bCs w:val="0"/>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0190 vo vzore C 34.02.</w:t>
            </w:r>
          </w:p>
        </w:tc>
      </w:tr>
      <w:tr w:rsidR="00EF74C7" w:rsidRPr="00CC28D3" w14:paraId="6C69A9B4" w14:textId="77777777" w:rsidTr="00822842">
        <w:trPr>
          <w:trHeight w:val="1971"/>
        </w:trPr>
        <w:tc>
          <w:tcPr>
            <w:tcW w:w="1384" w:type="dxa"/>
          </w:tcPr>
          <w:p w14:paraId="7647D954" w14:textId="77777777" w:rsidR="00EF74C7" w:rsidRPr="00CC28D3" w:rsidRDefault="00EF74C7" w:rsidP="00822842">
            <w:pPr>
              <w:pStyle w:val="Applicationdirecte"/>
              <w:spacing w:before="0" w:after="0"/>
              <w:jc w:val="left"/>
            </w:pPr>
            <w:r w:rsidRPr="00CC28D3">
              <w:t>0050 – 0110</w:t>
            </w:r>
          </w:p>
        </w:tc>
        <w:tc>
          <w:tcPr>
            <w:tcW w:w="7655" w:type="dxa"/>
          </w:tcPr>
          <w:p w14:paraId="3D695FBB"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OTC DERIVÁTY</w:t>
            </w:r>
          </w:p>
          <w:p w14:paraId="0E8A5849" w14:textId="32F7DC4E" w:rsidR="00EF74C7" w:rsidRPr="00CC28D3" w:rsidRDefault="00EF74C7" w:rsidP="00822842">
            <w:pPr>
              <w:rPr>
                <w:rFonts w:ascii="Times New Roman" w:hAnsi="Times New Roman"/>
                <w:sz w:val="24"/>
              </w:rPr>
            </w:pPr>
            <w:r w:rsidRPr="00CC28D3">
              <w:rPr>
                <w:rFonts w:ascii="Times New Roman" w:hAnsi="Times New Roman"/>
                <w:sz w:val="24"/>
              </w:rPr>
              <w:t>Inštitúcia vykazuje príslušné informácie týkajúce sa súborov vzájomného započítavania, ktoré obsahujú len OTC deriváty alebo transakcie</w:t>
            </w:r>
            <w:r w:rsidR="00CC28D3">
              <w:rPr>
                <w:rFonts w:ascii="Times New Roman" w:hAnsi="Times New Roman"/>
                <w:sz w:val="24"/>
              </w:rPr>
              <w:t xml:space="preserve"> s </w:t>
            </w:r>
            <w:r w:rsidRPr="00CC28D3">
              <w:rPr>
                <w:rFonts w:ascii="Times New Roman" w:hAnsi="Times New Roman"/>
                <w:sz w:val="24"/>
              </w:rPr>
              <w:t>dlhou dobou vyrovnania,</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inštitúcii povolilo určovať hodnotu expozície pomocou IMM,</w:t>
            </w:r>
            <w:r w:rsidR="00CC28D3">
              <w:rPr>
                <w:rFonts w:ascii="Times New Roman" w:hAnsi="Times New Roman"/>
                <w:sz w:val="24"/>
              </w:rPr>
              <w:t xml:space="preserve"> v </w:t>
            </w:r>
            <w:r w:rsidRPr="00CC28D3">
              <w:rPr>
                <w:rFonts w:ascii="Times New Roman" w:hAnsi="Times New Roman"/>
                <w:sz w:val="24"/>
              </w:rPr>
              <w:t>rozčlenení podľa rôznych tried aktív</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podkladovým aktívom (úroková sadzba, devízy, úver, vlastné imanie, komodita alebo iné).</w:t>
            </w:r>
          </w:p>
        </w:tc>
      </w:tr>
      <w:tr w:rsidR="00EF74C7" w:rsidRPr="00CC28D3" w14:paraId="32F0A14D" w14:textId="77777777" w:rsidTr="00822842">
        <w:trPr>
          <w:trHeight w:val="1970"/>
        </w:trPr>
        <w:tc>
          <w:tcPr>
            <w:tcW w:w="1384" w:type="dxa"/>
          </w:tcPr>
          <w:p w14:paraId="2CA05FA5" w14:textId="77777777" w:rsidR="00EF74C7" w:rsidRPr="00CC28D3" w:rsidRDefault="00EF74C7" w:rsidP="00822842">
            <w:pPr>
              <w:pStyle w:val="Applicationdirecte"/>
              <w:spacing w:before="0" w:after="0"/>
            </w:pPr>
            <w:r w:rsidRPr="00CC28D3">
              <w:t>0120 – 0180</w:t>
            </w:r>
          </w:p>
        </w:tc>
        <w:tc>
          <w:tcPr>
            <w:tcW w:w="7655" w:type="dxa"/>
          </w:tcPr>
          <w:p w14:paraId="1F81FD28"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DERIVÁTY OBCHODOVANÉ NA BURZE</w:t>
            </w:r>
          </w:p>
          <w:p w14:paraId="58D9B48E" w14:textId="2F0FE285" w:rsidR="00EF74C7" w:rsidRPr="00CC28D3" w:rsidRDefault="00EF74C7" w:rsidP="00822842">
            <w:pPr>
              <w:rPr>
                <w:rFonts w:ascii="Times New Roman" w:hAnsi="Times New Roman"/>
                <w:sz w:val="24"/>
              </w:rPr>
            </w:pPr>
            <w:r w:rsidRPr="00CC28D3">
              <w:rPr>
                <w:rFonts w:ascii="Times New Roman" w:hAnsi="Times New Roman"/>
                <w:sz w:val="24"/>
              </w:rPr>
              <w:t>Inštitúcia vykazuje príslušné informácie týkajúce sa súborov vzájomného započítavania, ktoré obsahujú len deriváty obchodované na burze alebo transakcie</w:t>
            </w:r>
            <w:r w:rsidR="00CC28D3">
              <w:rPr>
                <w:rFonts w:ascii="Times New Roman" w:hAnsi="Times New Roman"/>
                <w:sz w:val="24"/>
              </w:rPr>
              <w:t xml:space="preserve"> s </w:t>
            </w:r>
            <w:r w:rsidRPr="00CC28D3">
              <w:rPr>
                <w:rFonts w:ascii="Times New Roman" w:hAnsi="Times New Roman"/>
                <w:sz w:val="24"/>
              </w:rPr>
              <w:t>dlhou dobou vyrovnania,</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inštitúcii povolilo určovať hodnotu expozície pomocou IMM,</w:t>
            </w:r>
            <w:r w:rsidR="00CC28D3">
              <w:rPr>
                <w:rFonts w:ascii="Times New Roman" w:hAnsi="Times New Roman"/>
                <w:sz w:val="24"/>
              </w:rPr>
              <w:t xml:space="preserve"> v </w:t>
            </w:r>
            <w:r w:rsidRPr="00CC28D3">
              <w:rPr>
                <w:rFonts w:ascii="Times New Roman" w:hAnsi="Times New Roman"/>
                <w:sz w:val="24"/>
              </w:rPr>
              <w:t>rozčlenení podľa rôznych tried aktív</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podkladovým aktívom (úroková sadzba, devízy, úver, vlastné imanie, komodita alebo iné).</w:t>
            </w:r>
          </w:p>
        </w:tc>
      </w:tr>
      <w:tr w:rsidR="00EF74C7" w:rsidRPr="00CC28D3" w14:paraId="3A390CF4" w14:textId="77777777" w:rsidTr="00822842">
        <w:trPr>
          <w:trHeight w:val="1701"/>
        </w:trPr>
        <w:tc>
          <w:tcPr>
            <w:tcW w:w="1384" w:type="dxa"/>
          </w:tcPr>
          <w:p w14:paraId="5468C829" w14:textId="77777777" w:rsidR="00EF74C7" w:rsidRPr="00CC28D3" w:rsidRDefault="00EF74C7" w:rsidP="00822842">
            <w:pPr>
              <w:pStyle w:val="Applicationdirecte"/>
              <w:spacing w:before="0" w:after="0"/>
            </w:pPr>
            <w:r w:rsidRPr="00CC28D3">
              <w:t>0190 – 0220</w:t>
            </w:r>
          </w:p>
        </w:tc>
        <w:tc>
          <w:tcPr>
            <w:tcW w:w="7655" w:type="dxa"/>
          </w:tcPr>
          <w:p w14:paraId="52D3A7C8"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TRANSAKCIE FINANCOVANIA PROSTREDNÍCTVOM CENNÝCH PAPIEROV</w:t>
            </w:r>
          </w:p>
          <w:p w14:paraId="1CD88A29" w14:textId="4588AE93" w:rsidR="00EF74C7" w:rsidRPr="00CC28D3" w:rsidRDefault="00EF74C7" w:rsidP="00822842">
            <w:pPr>
              <w:rPr>
                <w:rFonts w:ascii="Times New Roman" w:hAnsi="Times New Roman"/>
                <w:sz w:val="24"/>
              </w:rPr>
            </w:pPr>
            <w:r w:rsidRPr="00CC28D3">
              <w:rPr>
                <w:rFonts w:ascii="Times New Roman" w:hAnsi="Times New Roman"/>
                <w:sz w:val="24"/>
              </w:rPr>
              <w:t>Inštitúcia vykazuje príslušné informácie týkajúce sa súborov vzájomného započítavania, ktoré obsahujú len SFT,</w:t>
            </w:r>
            <w:r w:rsidR="00CC28D3">
              <w:rPr>
                <w:rFonts w:ascii="Times New Roman" w:hAnsi="Times New Roman"/>
                <w:sz w:val="24"/>
              </w:rPr>
              <w:t xml:space="preserve">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inštitúcii povolilo určovať hodnotu expozície pomocou IMM,</w:t>
            </w:r>
            <w:r w:rsidR="00CC28D3">
              <w:rPr>
                <w:rFonts w:ascii="Times New Roman" w:hAnsi="Times New Roman"/>
                <w:sz w:val="24"/>
              </w:rPr>
              <w:t xml:space="preserve"> v </w:t>
            </w:r>
            <w:r w:rsidRPr="00CC28D3">
              <w:rPr>
                <w:rFonts w:ascii="Times New Roman" w:hAnsi="Times New Roman"/>
                <w:sz w:val="24"/>
              </w:rPr>
              <w:t xml:space="preserve">rozčlenení podľa druhu </w:t>
            </w:r>
            <w:r w:rsidRPr="00CC28D3">
              <w:rPr>
                <w:rFonts w:ascii="Times New Roman" w:hAnsi="Times New Roman"/>
                <w:sz w:val="24"/>
              </w:rPr>
              <w:lastRenderedPageBreak/>
              <w:t>podkladového aktíva</w:t>
            </w:r>
            <w:r w:rsidR="00CC28D3">
              <w:rPr>
                <w:rFonts w:ascii="Times New Roman" w:hAnsi="Times New Roman"/>
                <w:sz w:val="24"/>
              </w:rPr>
              <w:t xml:space="preserve"> v </w:t>
            </w:r>
            <w:r w:rsidRPr="00CC28D3">
              <w:rPr>
                <w:rFonts w:ascii="Times New Roman" w:hAnsi="Times New Roman"/>
                <w:sz w:val="24"/>
              </w:rPr>
              <w:t>časti SFT týkajúcej sa cenných papierov (dlhopis, vlastné imanie alebo iné).</w:t>
            </w:r>
          </w:p>
        </w:tc>
      </w:tr>
      <w:tr w:rsidR="00EF74C7" w:rsidRPr="00CC28D3" w14:paraId="64C592C4" w14:textId="77777777" w:rsidTr="00822842">
        <w:trPr>
          <w:trHeight w:val="833"/>
        </w:trPr>
        <w:tc>
          <w:tcPr>
            <w:tcW w:w="1384" w:type="dxa"/>
          </w:tcPr>
          <w:p w14:paraId="39B2C01D" w14:textId="77777777" w:rsidR="00EF74C7" w:rsidRPr="00CC28D3" w:rsidRDefault="00EF74C7" w:rsidP="00822842">
            <w:pPr>
              <w:pStyle w:val="Applicationdirecte"/>
              <w:spacing w:before="0" w:after="0"/>
            </w:pPr>
            <w:r w:rsidRPr="00CC28D3">
              <w:lastRenderedPageBreak/>
              <w:t>0230</w:t>
            </w:r>
          </w:p>
        </w:tc>
        <w:tc>
          <w:tcPr>
            <w:tcW w:w="7655" w:type="dxa"/>
          </w:tcPr>
          <w:p w14:paraId="1980D95A"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SÚBORY KRÍŽOVÉHO VZÁJOMNÉHO ZAPOČÍTAVANIA PRODUKTOV</w:t>
            </w:r>
          </w:p>
          <w:p w14:paraId="7F1F09BD" w14:textId="4364D558" w:rsidR="00EF74C7" w:rsidRPr="00CC28D3" w:rsidRDefault="00EF74C7" w:rsidP="00822842">
            <w:pPr>
              <w:rPr>
                <w:rFonts w:ascii="Times New Roman" w:hAnsi="Times New Roman"/>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riadku 0070 vo vzore C 34.02.</w:t>
            </w:r>
          </w:p>
        </w:tc>
      </w:tr>
    </w:tbl>
    <w:p w14:paraId="0A9C53D4" w14:textId="77777777" w:rsidR="00EF74C7" w:rsidRPr="00CC28D3" w:rsidRDefault="00EF74C7" w:rsidP="00EF74C7">
      <w:pPr>
        <w:tabs>
          <w:tab w:val="left" w:pos="1430"/>
        </w:tabs>
        <w:rPr>
          <w:rFonts w:ascii="Times New Roman" w:hAnsi="Times New Roman"/>
        </w:rPr>
      </w:pPr>
    </w:p>
    <w:p w14:paraId="2A48B1B3" w14:textId="77777777" w:rsidR="00EF74C7" w:rsidRPr="00CC28D3"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sidRPr="00CC28D3">
        <w:rPr>
          <w:rFonts w:ascii="Times New Roman" w:hAnsi="Times New Roman"/>
          <w:sz w:val="24"/>
        </w:rPr>
        <w:t>C 34.06 – Dvadsať najvýznamnejších protistrán</w:t>
      </w:r>
      <w:bookmarkEnd w:id="42"/>
      <w:bookmarkEnd w:id="43"/>
    </w:p>
    <w:p w14:paraId="41D5F705"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sidRPr="00CC28D3">
        <w:rPr>
          <w:rFonts w:ascii="Times New Roman" w:hAnsi="Times New Roman"/>
          <w:sz w:val="24"/>
        </w:rPr>
        <w:t>Všeobecné poznámky</w:t>
      </w:r>
      <w:bookmarkEnd w:id="44"/>
      <w:bookmarkEnd w:id="45"/>
    </w:p>
    <w:p w14:paraId="4872503C" w14:textId="5E39DC2B"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126</w:t>
      </w:r>
      <w:r w:rsidRPr="00CC28D3">
        <w:fldChar w:fldCharType="end"/>
      </w:r>
      <w:r w:rsidRPr="00CC28D3">
        <w:t>. Inštitúcie vykazujú informácie</w:t>
      </w:r>
      <w:r w:rsidR="00CC28D3">
        <w:t xml:space="preserve"> o </w:t>
      </w:r>
      <w:r w:rsidRPr="00CC28D3">
        <w:t>20 najvýznamnejších protistranách,</w:t>
      </w:r>
      <w:r w:rsidR="00CC28D3">
        <w:t xml:space="preserve"> s </w:t>
      </w:r>
      <w:r w:rsidRPr="00CC28D3">
        <w:t>ktorými majú najväčšie expozície voči CCR. Poradie sa určuje na základe hodnôt expozícií voči CCR vykázaných</w:t>
      </w:r>
      <w:r w:rsidR="00CC28D3">
        <w:t xml:space="preserve"> v </w:t>
      </w:r>
      <w:r w:rsidRPr="00CC28D3">
        <w:t>stĺpci 0120 tohto vzoru pre všetky súbory vzájomného započítavania</w:t>
      </w:r>
      <w:r w:rsidR="00CC28D3">
        <w:t xml:space="preserve"> s </w:t>
      </w:r>
      <w:r w:rsidRPr="00CC28D3">
        <w:t>jednotlivými protistranami. Pri určovaní zoznamu 20 najvýznamnejších protistrán sa zohľadňujú aj expozície</w:t>
      </w:r>
      <w:r w:rsidR="00CC28D3">
        <w:t xml:space="preserve"> v </w:t>
      </w:r>
      <w:r w:rsidRPr="00CC28D3">
        <w:t>rámci skupiny alebo iné expozície, ktoré vedú</w:t>
      </w:r>
      <w:r w:rsidR="00CC28D3">
        <w:t xml:space="preserve"> k </w:t>
      </w:r>
      <w:r w:rsidRPr="00CC28D3">
        <w:t>vzniku kreditného rizika protistrany, ale ktorým inštitúcie</w:t>
      </w:r>
      <w:r w:rsidR="00CC28D3">
        <w:t xml:space="preserve"> v </w:t>
      </w:r>
      <w:r w:rsidRPr="00CC28D3">
        <w:t>súlade</w:t>
      </w:r>
      <w:r w:rsidR="00CC28D3">
        <w:t xml:space="preserve"> s </w:t>
      </w:r>
      <w:r w:rsidRPr="00CC28D3">
        <w:t>článkom 113 ods. 6</w:t>
      </w:r>
      <w:r w:rsidR="00CC28D3">
        <w:t xml:space="preserve"> a </w:t>
      </w:r>
      <w:r w:rsidRPr="00CC28D3">
        <w:t xml:space="preserve">7 nariadenia (EÚ) </w:t>
      </w:r>
      <w:r w:rsidR="00CC28D3">
        <w:t>č. </w:t>
      </w:r>
      <w:r w:rsidRPr="00CC28D3">
        <w:t>575/2013 priraďujú na účel výpočtu požiadaviek na vlastné zdroje nulovú rizikovú váhu.</w:t>
      </w:r>
    </w:p>
    <w:p w14:paraId="647CEA55" w14:textId="3CF83D7A"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127</w:t>
      </w:r>
      <w:r w:rsidRPr="00CC28D3">
        <w:fldChar w:fldCharType="end"/>
      </w:r>
      <w:r w:rsidRPr="00CC28D3">
        <w:t>. Inštitúcie, ktoré na výpočet expozícií voči CCR uplatňujú štandardizovaný prístup (SA-CCR) alebo metódu interných modelov (IMM) podľa tretej časti hlavy II kapitoly 6 oddielov 3</w:t>
      </w:r>
      <w:r w:rsidR="00CC28D3">
        <w:t xml:space="preserve"> a </w:t>
      </w:r>
      <w:r w:rsidRPr="00CC28D3">
        <w:t xml:space="preserve">6 nariadenia (EÚ) </w:t>
      </w:r>
      <w:r w:rsidR="00CC28D3">
        <w:t>č. </w:t>
      </w:r>
      <w:r w:rsidRPr="00CC28D3">
        <w:t>575/2013, vykazujú tento vzor štvrťročne. Inštitúcie, ktoré na výpočet expozícií voči CCR uplatňujú zjednodušený štandardizovaný prístup alebo metódu pôvodnej expozície (OEM) podľa tretej časti hlavy II kapitoly 6 oddielov 4</w:t>
      </w:r>
      <w:r w:rsidR="00CC28D3">
        <w:t xml:space="preserve"> a </w:t>
      </w:r>
      <w:r w:rsidRPr="00CC28D3">
        <w:t xml:space="preserve">5 nariadenia (EÚ) </w:t>
      </w:r>
      <w:r w:rsidR="00CC28D3">
        <w:t>č. </w:t>
      </w:r>
      <w:r w:rsidRPr="00CC28D3">
        <w:t xml:space="preserve">575/2013, vykazujú tento vzor polročne. </w:t>
      </w:r>
      <w:bookmarkStart w:id="46" w:name="_Toc19715818"/>
      <w:r w:rsidRPr="00CC28D3">
        <w:t>Pokyny týkajúce sa konkrétnych pozícií</w:t>
      </w:r>
      <w:bookmarkEnd w:id="46"/>
    </w:p>
    <w:p w14:paraId="2736A53C"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47" w:name="_Toc151714458"/>
      <w:r w:rsidRPr="00CC28D3">
        <w:rPr>
          <w:rFonts w:ascii="Times New Roman" w:hAnsi="Times New Roman"/>
          <w:sz w:val="24"/>
        </w:rPr>
        <w:t>Pokyny týkajúce sa konkrétnych pozícií</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CC28D3" w:rsidRDefault="00EF74C7" w:rsidP="00822842">
            <w:pPr>
              <w:autoSpaceDE w:val="0"/>
              <w:autoSpaceDN w:val="0"/>
              <w:adjustRightInd w:val="0"/>
              <w:rPr>
                <w:rFonts w:ascii="Times New Roman" w:hAnsi="Times New Roman"/>
                <w:b/>
                <w:sz w:val="24"/>
              </w:rPr>
            </w:pPr>
            <w:r w:rsidRPr="00CC28D3">
              <w:rPr>
                <w:rFonts w:ascii="Times New Roman" w:hAnsi="Times New Roman"/>
                <w:b/>
                <w:sz w:val="24"/>
              </w:rPr>
              <w:t>Stĺpce</w:t>
            </w:r>
          </w:p>
        </w:tc>
      </w:tr>
      <w:tr w:rsidR="00EF74C7" w:rsidRPr="00CC28D3" w14:paraId="1E5ECC03" w14:textId="77777777" w:rsidTr="00822842">
        <w:trPr>
          <w:trHeight w:val="680"/>
        </w:trPr>
        <w:tc>
          <w:tcPr>
            <w:tcW w:w="1384" w:type="dxa"/>
          </w:tcPr>
          <w:p w14:paraId="67FE490E" w14:textId="77777777" w:rsidR="00EF74C7" w:rsidRPr="00CC28D3" w:rsidRDefault="00EF74C7" w:rsidP="00822842">
            <w:pPr>
              <w:pStyle w:val="Applicationdirecte"/>
              <w:spacing w:before="0" w:after="0"/>
            </w:pPr>
            <w:r w:rsidRPr="00CC28D3">
              <w:t>0011</w:t>
            </w:r>
          </w:p>
        </w:tc>
        <w:tc>
          <w:tcPr>
            <w:tcW w:w="7655" w:type="dxa"/>
            <w:vAlign w:val="center"/>
          </w:tcPr>
          <w:p w14:paraId="2145838B" w14:textId="77777777" w:rsidR="00EF74C7" w:rsidRPr="00CC28D3" w:rsidRDefault="00EF74C7" w:rsidP="00822842">
            <w:pPr>
              <w:keepNext/>
              <w:spacing w:before="60"/>
              <w:rPr>
                <w:rStyle w:val="InstructionsTabelleberschrift"/>
                <w:rFonts w:ascii="Times New Roman" w:hAnsi="Times New Roman"/>
                <w:sz w:val="24"/>
              </w:rPr>
            </w:pPr>
            <w:r w:rsidRPr="00CC28D3">
              <w:rPr>
                <w:rStyle w:val="InstructionsTabelleberschrift"/>
                <w:rFonts w:ascii="Times New Roman" w:hAnsi="Times New Roman"/>
                <w:sz w:val="24"/>
              </w:rPr>
              <w:t>NÁZOV</w:t>
            </w:r>
          </w:p>
          <w:p w14:paraId="02D41CBA" w14:textId="77777777" w:rsidR="00EF74C7" w:rsidRPr="00CC28D3" w:rsidRDefault="00EF74C7" w:rsidP="00822842">
            <w:pPr>
              <w:keepNext/>
              <w:spacing w:before="60"/>
              <w:rPr>
                <w:rFonts w:ascii="Times New Roman" w:hAnsi="Times New Roman"/>
                <w:szCs w:val="22"/>
              </w:rPr>
            </w:pPr>
            <w:r w:rsidRPr="00CC28D3">
              <w:rPr>
                <w:rFonts w:ascii="Times New Roman" w:hAnsi="Times New Roman"/>
                <w:sz w:val="24"/>
              </w:rPr>
              <w:t>Názov protistrany</w:t>
            </w:r>
          </w:p>
        </w:tc>
      </w:tr>
      <w:tr w:rsidR="00EF74C7" w:rsidRPr="00CC28D3" w14:paraId="4B2EA2C4" w14:textId="77777777" w:rsidTr="00822842">
        <w:trPr>
          <w:trHeight w:val="680"/>
        </w:trPr>
        <w:tc>
          <w:tcPr>
            <w:tcW w:w="1384" w:type="dxa"/>
          </w:tcPr>
          <w:p w14:paraId="35C54AA9" w14:textId="77777777" w:rsidR="00EF74C7" w:rsidRPr="00CC28D3" w:rsidRDefault="00EF74C7" w:rsidP="00822842">
            <w:pPr>
              <w:pStyle w:val="Applicationdirecte"/>
              <w:spacing w:before="0" w:after="0"/>
            </w:pPr>
            <w:r w:rsidRPr="00CC28D3">
              <w:t>0020</w:t>
            </w:r>
          </w:p>
        </w:tc>
        <w:tc>
          <w:tcPr>
            <w:tcW w:w="7655" w:type="dxa"/>
            <w:vAlign w:val="center"/>
          </w:tcPr>
          <w:p w14:paraId="6CCE0F62"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KÓD</w:t>
            </w:r>
          </w:p>
          <w:p w14:paraId="38310236" w14:textId="356F644A" w:rsidR="00EF74C7" w:rsidRPr="00CC28D3" w:rsidRDefault="00EF74C7" w:rsidP="00822842">
            <w:pPr>
              <w:keepNext/>
              <w:spacing w:before="60"/>
              <w:rPr>
                <w:rFonts w:ascii="Times New Roman" w:hAnsi="Times New Roman"/>
                <w:sz w:val="24"/>
                <w:u w:val="single"/>
              </w:rPr>
            </w:pPr>
            <w:r w:rsidRPr="00CC28D3">
              <w:rPr>
                <w:rFonts w:ascii="Times New Roman" w:hAnsi="Times New Roman"/>
                <w:sz w:val="24"/>
              </w:rPr>
              <w:t>Kód ako súčasť identifikátora riadku musí byť jedinečný pre každý vykazovaný subjekt.</w:t>
            </w:r>
            <w:r w:rsidR="00CC28D3">
              <w:rPr>
                <w:rFonts w:ascii="Times New Roman" w:hAnsi="Times New Roman"/>
                <w:sz w:val="24"/>
              </w:rPr>
              <w:t xml:space="preserve"> V </w:t>
            </w:r>
            <w:r w:rsidRPr="00CC28D3">
              <w:rPr>
                <w:rFonts w:ascii="Times New Roman" w:hAnsi="Times New Roman"/>
                <w:sz w:val="24"/>
              </w:rPr>
              <w:t>prípade inštitúcií</w:t>
            </w:r>
            <w:r w:rsidR="00CC28D3">
              <w:rPr>
                <w:rFonts w:ascii="Times New Roman" w:hAnsi="Times New Roman"/>
                <w:sz w:val="24"/>
              </w:rPr>
              <w:t xml:space="preserve"> a </w:t>
            </w:r>
            <w:r w:rsidRPr="00CC28D3">
              <w:rPr>
                <w:rFonts w:ascii="Times New Roman" w:hAnsi="Times New Roman"/>
                <w:sz w:val="24"/>
              </w:rPr>
              <w:t>poisťovní je kódom kód LEI.</w:t>
            </w:r>
            <w:r w:rsidR="00CC28D3">
              <w:rPr>
                <w:rFonts w:ascii="Times New Roman" w:hAnsi="Times New Roman"/>
                <w:sz w:val="24"/>
              </w:rPr>
              <w:t xml:space="preserve"> V </w:t>
            </w:r>
            <w:r w:rsidRPr="00CC28D3">
              <w:rPr>
                <w:rFonts w:ascii="Times New Roman" w:hAnsi="Times New Roman"/>
                <w:sz w:val="24"/>
              </w:rPr>
              <w:t>prípade ostatných subjektov je kódom kód LEI alebo, ak nie je</w:t>
            </w:r>
            <w:r w:rsidR="00CC28D3">
              <w:rPr>
                <w:rFonts w:ascii="Times New Roman" w:hAnsi="Times New Roman"/>
                <w:sz w:val="24"/>
              </w:rPr>
              <w:t xml:space="preserve"> k </w:t>
            </w:r>
            <w:r w:rsidRPr="00CC28D3">
              <w:rPr>
                <w:rFonts w:ascii="Times New Roman" w:hAnsi="Times New Roman"/>
                <w:sz w:val="24"/>
              </w:rPr>
              <w:t>dispozícii, kód iný ako LEI. Kód je jedinečný</w:t>
            </w:r>
            <w:r w:rsidR="00CC28D3">
              <w:rPr>
                <w:rFonts w:ascii="Times New Roman" w:hAnsi="Times New Roman"/>
                <w:sz w:val="24"/>
              </w:rPr>
              <w:t xml:space="preserve"> a </w:t>
            </w:r>
            <w:r w:rsidRPr="00CC28D3">
              <w:rPr>
                <w:rFonts w:ascii="Times New Roman" w:hAnsi="Times New Roman"/>
                <w:sz w:val="24"/>
              </w:rPr>
              <w:t>používa sa konzistentne vo všetkých vzoroch</w:t>
            </w:r>
            <w:r w:rsidR="00CC28D3">
              <w:rPr>
                <w:rFonts w:ascii="Times New Roman" w:hAnsi="Times New Roman"/>
                <w:sz w:val="24"/>
              </w:rPr>
              <w:t xml:space="preserve"> a v </w:t>
            </w:r>
            <w:r w:rsidRPr="00CC28D3">
              <w:rPr>
                <w:rFonts w:ascii="Times New Roman" w:hAnsi="Times New Roman"/>
                <w:sz w:val="24"/>
              </w:rPr>
              <w:t>priebehu času. Kód má vždy hodnotu.</w:t>
            </w:r>
          </w:p>
        </w:tc>
      </w:tr>
      <w:tr w:rsidR="00EF74C7" w:rsidRPr="00CC28D3" w14:paraId="2DAA4B2D" w14:textId="77777777" w:rsidTr="00822842">
        <w:trPr>
          <w:trHeight w:val="680"/>
        </w:trPr>
        <w:tc>
          <w:tcPr>
            <w:tcW w:w="1384" w:type="dxa"/>
          </w:tcPr>
          <w:p w14:paraId="5727082D" w14:textId="77777777" w:rsidR="00EF74C7" w:rsidRPr="00CC28D3" w:rsidRDefault="00EF74C7" w:rsidP="00822842">
            <w:pPr>
              <w:pStyle w:val="Applicationdirecte"/>
              <w:spacing w:before="0" w:after="0"/>
            </w:pPr>
            <w:r w:rsidRPr="00CC28D3">
              <w:lastRenderedPageBreak/>
              <w:t>0030</w:t>
            </w:r>
          </w:p>
        </w:tc>
        <w:tc>
          <w:tcPr>
            <w:tcW w:w="7655" w:type="dxa"/>
            <w:vAlign w:val="center"/>
          </w:tcPr>
          <w:p w14:paraId="0F71916C"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DRUH KÓDU</w:t>
            </w:r>
          </w:p>
          <w:p w14:paraId="12E4A55E" w14:textId="1DCC4947" w:rsidR="00EF74C7" w:rsidRPr="00CC28D3" w:rsidRDefault="00EF74C7" w:rsidP="00822842">
            <w:pPr>
              <w:rPr>
                <w:rStyle w:val="FormatvorlageInstructionsTabelleText"/>
                <w:rFonts w:ascii="Calibri" w:hAnsi="Calibri" w:cs="Calibri"/>
              </w:rPr>
            </w:pPr>
            <w:r w:rsidRPr="00CC28D3">
              <w:rPr>
                <w:rFonts w:ascii="Times New Roman" w:hAnsi="Times New Roman"/>
                <w:sz w:val="24"/>
              </w:rPr>
              <w:t>Inštitúcia uvádza druh kódu vykazovaného</w:t>
            </w:r>
            <w:r w:rsidR="00CC28D3">
              <w:rPr>
                <w:rFonts w:ascii="Times New Roman" w:hAnsi="Times New Roman"/>
                <w:sz w:val="24"/>
              </w:rPr>
              <w:t xml:space="preserve"> v </w:t>
            </w:r>
            <w:r w:rsidRPr="00CC28D3">
              <w:rPr>
                <w:rStyle w:val="FormatvorlageInstructionsTabelleText"/>
                <w:rFonts w:ascii="Times New Roman" w:hAnsi="Times New Roman"/>
                <w:sz w:val="24"/>
              </w:rPr>
              <w:t>stĺpci 0020 ako „kód LEI“ alebo „vnútroštátny kód“.</w:t>
            </w:r>
          </w:p>
          <w:p w14:paraId="68A8C569" w14:textId="77777777" w:rsidR="00EF74C7" w:rsidRPr="00CC28D3" w:rsidRDefault="00EF74C7" w:rsidP="00822842">
            <w:pPr>
              <w:rPr>
                <w:rFonts w:ascii="Times New Roman" w:hAnsi="Times New Roman"/>
                <w:bCs/>
                <w:sz w:val="24"/>
              </w:rPr>
            </w:pPr>
            <w:r w:rsidRPr="00CC28D3">
              <w:rPr>
                <w:rFonts w:ascii="Times New Roman" w:hAnsi="Times New Roman"/>
                <w:sz w:val="24"/>
              </w:rPr>
              <w:t>Druh kódu sa vykazuje vždy.</w:t>
            </w:r>
          </w:p>
        </w:tc>
      </w:tr>
      <w:tr w:rsidR="00EF74C7" w:rsidRPr="00CC28D3" w14:paraId="5CE3DDA8" w14:textId="77777777" w:rsidTr="00822842">
        <w:trPr>
          <w:trHeight w:val="680"/>
        </w:trPr>
        <w:tc>
          <w:tcPr>
            <w:tcW w:w="1384" w:type="dxa"/>
          </w:tcPr>
          <w:p w14:paraId="7912C4C0" w14:textId="77777777" w:rsidR="00EF74C7" w:rsidRPr="00CC28D3" w:rsidRDefault="00EF74C7" w:rsidP="00822842">
            <w:pPr>
              <w:pStyle w:val="Applicationdirecte"/>
              <w:spacing w:before="0" w:after="0"/>
            </w:pPr>
            <w:r w:rsidRPr="00CC28D3">
              <w:t>0035</w:t>
            </w:r>
          </w:p>
        </w:tc>
        <w:tc>
          <w:tcPr>
            <w:tcW w:w="7655" w:type="dxa"/>
            <w:vAlign w:val="center"/>
          </w:tcPr>
          <w:p w14:paraId="6012FDEC"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VNÚTROŠTÁTNY KÓD</w:t>
            </w:r>
          </w:p>
          <w:p w14:paraId="53A43075" w14:textId="1B7AAA10" w:rsidR="00EF74C7" w:rsidRPr="00CC28D3" w:rsidRDefault="00EF74C7" w:rsidP="00822842">
            <w:pPr>
              <w:pStyle w:val="ListParagraph"/>
              <w:ind w:left="65"/>
              <w:rPr>
                <w:rFonts w:ascii="Times New Roman" w:hAnsi="Times New Roman"/>
                <w:b/>
                <w:sz w:val="24"/>
                <w:u w:val="single"/>
              </w:rPr>
            </w:pPr>
            <w:r w:rsidRPr="00CC28D3">
              <w:rPr>
                <w:rFonts w:ascii="Times New Roman" w:hAnsi="Times New Roman"/>
                <w:sz w:val="24"/>
              </w:rPr>
              <w:t>Inštitúcia môže dodatočne vykazovať vnútroštátny kód, keď</w:t>
            </w:r>
            <w:r w:rsidR="00CC28D3">
              <w:rPr>
                <w:rFonts w:ascii="Times New Roman" w:hAnsi="Times New Roman"/>
                <w:sz w:val="24"/>
              </w:rPr>
              <w:t xml:space="preserve"> v </w:t>
            </w:r>
            <w:r w:rsidRPr="00CC28D3">
              <w:rPr>
                <w:rFonts w:ascii="Times New Roman" w:hAnsi="Times New Roman"/>
                <w:sz w:val="24"/>
              </w:rPr>
              <w:t>stĺpci 0020 určenom pre „kód“ vykazuje ako identifikátor kód LEI.</w:t>
            </w:r>
          </w:p>
        </w:tc>
      </w:tr>
      <w:tr w:rsidR="00EF74C7" w:rsidRPr="00CC28D3" w14:paraId="224798DC" w14:textId="77777777" w:rsidTr="00822842">
        <w:trPr>
          <w:trHeight w:val="680"/>
        </w:trPr>
        <w:tc>
          <w:tcPr>
            <w:tcW w:w="1384" w:type="dxa"/>
          </w:tcPr>
          <w:p w14:paraId="2CBB581D" w14:textId="77777777" w:rsidR="00EF74C7" w:rsidRPr="00CC28D3" w:rsidRDefault="00EF74C7" w:rsidP="00822842">
            <w:pPr>
              <w:pStyle w:val="Applicationdirecte"/>
              <w:spacing w:before="0" w:after="0"/>
            </w:pPr>
            <w:r w:rsidRPr="00CC28D3">
              <w:t>0040</w:t>
            </w:r>
          </w:p>
        </w:tc>
        <w:tc>
          <w:tcPr>
            <w:tcW w:w="7655" w:type="dxa"/>
            <w:vAlign w:val="center"/>
          </w:tcPr>
          <w:p w14:paraId="2A302176"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SEKTOR PROTISTRANY</w:t>
            </w:r>
          </w:p>
          <w:p w14:paraId="138065F1" w14:textId="4E73DEA0" w:rsidR="00EF74C7" w:rsidRPr="00CC28D3" w:rsidRDefault="00EF74C7" w:rsidP="00822842">
            <w:pPr>
              <w:keepNext/>
              <w:spacing w:before="60"/>
              <w:rPr>
                <w:rFonts w:ascii="Times New Roman" w:hAnsi="Times New Roman"/>
                <w:sz w:val="24"/>
              </w:rPr>
            </w:pPr>
            <w:r w:rsidRPr="00CC28D3">
              <w:rPr>
                <w:rFonts w:ascii="Times New Roman" w:hAnsi="Times New Roman"/>
                <w:sz w:val="24"/>
              </w:rPr>
              <w:t>Pre každú protistranu sa vyberie jeden sektor na základe týchto tried hospodárskych sektorov podľa FINREP (pozri tretiu časť prílohy</w:t>
            </w:r>
            <w:r w:rsidR="00CC28D3">
              <w:rPr>
                <w:rFonts w:ascii="Times New Roman" w:hAnsi="Times New Roman"/>
                <w:sz w:val="24"/>
              </w:rPr>
              <w:t xml:space="preserve"> V k </w:t>
            </w:r>
            <w:r w:rsidRPr="00CC28D3">
              <w:rPr>
                <w:rFonts w:ascii="Times New Roman" w:hAnsi="Times New Roman"/>
                <w:sz w:val="24"/>
              </w:rPr>
              <w:t>tomuto vykonávaciemu nariadeniu):</w:t>
            </w:r>
          </w:p>
          <w:p w14:paraId="3FD37943"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 xml:space="preserve">i) </w:t>
            </w:r>
            <w:r w:rsidRPr="00CC28D3">
              <w:tab/>
            </w:r>
            <w:r w:rsidRPr="00CC28D3">
              <w:rPr>
                <w:rFonts w:ascii="Times New Roman" w:hAnsi="Times New Roman"/>
                <w:sz w:val="24"/>
              </w:rPr>
              <w:t>centrálne banky;</w:t>
            </w:r>
          </w:p>
          <w:p w14:paraId="2EDFC759"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ii)</w:t>
            </w:r>
            <w:r w:rsidRPr="00CC28D3">
              <w:tab/>
            </w:r>
            <w:r w:rsidRPr="00CC28D3">
              <w:rPr>
                <w:rFonts w:ascii="Times New Roman" w:hAnsi="Times New Roman"/>
                <w:sz w:val="24"/>
              </w:rPr>
              <w:t>orgány verejnej správy;</w:t>
            </w:r>
          </w:p>
          <w:p w14:paraId="59EF6A29"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iii)</w:t>
            </w:r>
            <w:r w:rsidRPr="00CC28D3">
              <w:tab/>
            </w:r>
            <w:r w:rsidRPr="00CC28D3">
              <w:rPr>
                <w:rFonts w:ascii="Times New Roman" w:hAnsi="Times New Roman"/>
                <w:sz w:val="24"/>
              </w:rPr>
              <w:t>úverové inštitúcie;</w:t>
            </w:r>
          </w:p>
          <w:p w14:paraId="50C89603" w14:textId="3AACFD96" w:rsidR="00EF74C7" w:rsidRPr="00CC28D3" w:rsidRDefault="00EF74C7" w:rsidP="00822842">
            <w:pPr>
              <w:keepNext/>
              <w:spacing w:before="60"/>
              <w:rPr>
                <w:rFonts w:ascii="Times New Roman" w:hAnsi="Times New Roman"/>
                <w:sz w:val="24"/>
              </w:rPr>
            </w:pPr>
            <w:r w:rsidRPr="00CC28D3">
              <w:rPr>
                <w:rFonts w:ascii="Times New Roman" w:hAnsi="Times New Roman"/>
                <w:sz w:val="24"/>
              </w:rPr>
              <w:t>iv)</w:t>
            </w:r>
            <w:r w:rsidRPr="00CC28D3">
              <w:tab/>
            </w:r>
            <w:r w:rsidRPr="00CC28D3">
              <w:rPr>
                <w:rFonts w:ascii="Times New Roman" w:hAnsi="Times New Roman"/>
                <w:sz w:val="24"/>
              </w:rPr>
              <w:t>investičné spoločnosti</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4 ods. 1 bode 2 nariadenia (EÚ) </w:t>
            </w:r>
            <w:r w:rsidR="00CC28D3">
              <w:rPr>
                <w:rFonts w:ascii="Times New Roman" w:hAnsi="Times New Roman"/>
                <w:sz w:val="24"/>
              </w:rPr>
              <w:t>č. </w:t>
            </w:r>
            <w:r w:rsidRPr="00CC28D3">
              <w:rPr>
                <w:rFonts w:ascii="Times New Roman" w:hAnsi="Times New Roman"/>
                <w:sz w:val="24"/>
              </w:rPr>
              <w:t>575/2013;</w:t>
            </w:r>
          </w:p>
          <w:p w14:paraId="3A2FD93E"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v)</w:t>
            </w:r>
            <w:r w:rsidRPr="00CC28D3">
              <w:tab/>
            </w:r>
            <w:r w:rsidRPr="00CC28D3">
              <w:rPr>
                <w:rFonts w:ascii="Times New Roman" w:hAnsi="Times New Roman"/>
                <w:sz w:val="24"/>
              </w:rPr>
              <w:t>ostatné finančné korporácie (s výnimkou investičných spoločností);</w:t>
            </w:r>
          </w:p>
          <w:p w14:paraId="58ADE56E"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vi)</w:t>
            </w:r>
            <w:r w:rsidRPr="00CC28D3">
              <w:tab/>
            </w:r>
            <w:r w:rsidRPr="00CC28D3">
              <w:rPr>
                <w:rFonts w:ascii="Times New Roman" w:hAnsi="Times New Roman"/>
                <w:sz w:val="24"/>
              </w:rPr>
              <w:t>nefinančné korporácie.</w:t>
            </w:r>
          </w:p>
        </w:tc>
      </w:tr>
      <w:tr w:rsidR="00EF74C7" w:rsidRPr="00CC28D3" w14:paraId="24F599F8" w14:textId="77777777" w:rsidTr="00822842">
        <w:trPr>
          <w:trHeight w:val="680"/>
        </w:trPr>
        <w:tc>
          <w:tcPr>
            <w:tcW w:w="1384" w:type="dxa"/>
          </w:tcPr>
          <w:p w14:paraId="2FBFF8FA" w14:textId="77777777" w:rsidR="00EF74C7" w:rsidRPr="00CC28D3" w:rsidRDefault="00EF74C7" w:rsidP="00822842">
            <w:pPr>
              <w:pStyle w:val="Applicationdirecte"/>
              <w:spacing w:before="0" w:after="0"/>
            </w:pPr>
            <w:r w:rsidRPr="00CC28D3">
              <w:t>0050</w:t>
            </w:r>
          </w:p>
        </w:tc>
        <w:tc>
          <w:tcPr>
            <w:tcW w:w="7655" w:type="dxa"/>
            <w:vAlign w:val="center"/>
          </w:tcPr>
          <w:p w14:paraId="72BF6C7A"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DRUH PROTISTRANY</w:t>
            </w:r>
          </w:p>
          <w:p w14:paraId="34B18679"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Inštitúcia uvádza druh protistrany, ktorým môže byť:</w:t>
            </w:r>
          </w:p>
          <w:p w14:paraId="19809711"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 QCCP: ak je protistranou kvalifikovaná centrálna protistrana;</w:t>
            </w:r>
          </w:p>
          <w:p w14:paraId="7530291C"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 NON-QCCP: ak je protistranou nekvalifikovaná centrálna protistrana;</w:t>
            </w:r>
          </w:p>
          <w:p w14:paraId="53A61161"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 xml:space="preserve">– No CCP: ak protistranou nie je centrálna protistrana. </w:t>
            </w:r>
          </w:p>
        </w:tc>
      </w:tr>
      <w:tr w:rsidR="00EF74C7" w:rsidRPr="00CC28D3" w14:paraId="7138E79A" w14:textId="77777777" w:rsidTr="00822842">
        <w:trPr>
          <w:trHeight w:val="680"/>
        </w:trPr>
        <w:tc>
          <w:tcPr>
            <w:tcW w:w="1384" w:type="dxa"/>
          </w:tcPr>
          <w:p w14:paraId="7D208FDD" w14:textId="77777777" w:rsidR="00EF74C7" w:rsidRPr="00CC28D3" w:rsidRDefault="00EF74C7" w:rsidP="00822842">
            <w:pPr>
              <w:pStyle w:val="Applicationdirecte"/>
              <w:spacing w:before="0" w:after="0"/>
            </w:pPr>
            <w:r w:rsidRPr="00CC28D3">
              <w:t>0060</w:t>
            </w:r>
          </w:p>
        </w:tc>
        <w:tc>
          <w:tcPr>
            <w:tcW w:w="7655" w:type="dxa"/>
            <w:vAlign w:val="center"/>
          </w:tcPr>
          <w:p w14:paraId="653C0A24"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SÍDLO PROTISTRANY</w:t>
            </w:r>
          </w:p>
          <w:p w14:paraId="4B5E06D5" w14:textId="08766F42" w:rsidR="00EF74C7" w:rsidRPr="00CC28D3" w:rsidRDefault="00EF74C7" w:rsidP="00822842">
            <w:pPr>
              <w:keepNext/>
              <w:spacing w:before="60"/>
              <w:rPr>
                <w:rFonts w:ascii="Times New Roman" w:hAnsi="Times New Roman"/>
                <w:sz w:val="24"/>
              </w:rPr>
            </w:pPr>
            <w:r w:rsidRPr="00CC28D3">
              <w:rPr>
                <w:rFonts w:ascii="Times New Roman" w:hAnsi="Times New Roman"/>
                <w:sz w:val="24"/>
              </w:rPr>
              <w:t xml:space="preserve">Používa sa dvojpísmenový kód krajiny založenia protistrany podľa ISO 3166-1 [vrátane </w:t>
            </w:r>
            <w:proofErr w:type="spellStart"/>
            <w:r w:rsidRPr="00CC28D3">
              <w:rPr>
                <w:rFonts w:ascii="Times New Roman" w:hAnsi="Times New Roman"/>
                <w:sz w:val="24"/>
              </w:rPr>
              <w:t>pseudokódov</w:t>
            </w:r>
            <w:proofErr w:type="spellEnd"/>
            <w:r w:rsidRPr="00CC28D3">
              <w:rPr>
                <w:rFonts w:ascii="Times New Roman" w:hAnsi="Times New Roman"/>
                <w:sz w:val="24"/>
              </w:rPr>
              <w:t xml:space="preserve"> ISO pre medzinárodné organizácie uvedených</w:t>
            </w:r>
            <w:r w:rsidR="00CC28D3">
              <w:rPr>
                <w:rFonts w:ascii="Times New Roman" w:hAnsi="Times New Roman"/>
                <w:sz w:val="24"/>
              </w:rPr>
              <w:t xml:space="preserve"> v </w:t>
            </w:r>
            <w:r w:rsidRPr="00CC28D3">
              <w:rPr>
                <w:rFonts w:ascii="Times New Roman" w:hAnsi="Times New Roman"/>
                <w:sz w:val="24"/>
              </w:rPr>
              <w:t xml:space="preserve">príručke </w:t>
            </w:r>
            <w:proofErr w:type="spellStart"/>
            <w:r w:rsidRPr="00CC28D3">
              <w:rPr>
                <w:rFonts w:ascii="Times New Roman" w:hAnsi="Times New Roman"/>
                <w:sz w:val="24"/>
              </w:rPr>
              <w:t>Eurostatu</w:t>
            </w:r>
            <w:proofErr w:type="spellEnd"/>
            <w:r w:rsidRPr="00CC28D3">
              <w:rPr>
                <w:rFonts w:ascii="Times New Roman" w:hAnsi="Times New Roman"/>
                <w:sz w:val="24"/>
              </w:rPr>
              <w:t xml:space="preserve"> </w:t>
            </w:r>
            <w:proofErr w:type="spellStart"/>
            <w:r w:rsidRPr="00CC28D3">
              <w:rPr>
                <w:rFonts w:ascii="Times New Roman" w:hAnsi="Times New Roman"/>
                <w:i/>
                <w:sz w:val="24"/>
              </w:rPr>
              <w:t>Balance</w:t>
            </w:r>
            <w:proofErr w:type="spellEnd"/>
            <w:r w:rsidRPr="00CC28D3">
              <w:rPr>
                <w:rFonts w:ascii="Times New Roman" w:hAnsi="Times New Roman"/>
                <w:i/>
                <w:sz w:val="24"/>
              </w:rPr>
              <w:t xml:space="preserve"> of </w:t>
            </w:r>
            <w:proofErr w:type="spellStart"/>
            <w:r w:rsidRPr="00CC28D3">
              <w:rPr>
                <w:rFonts w:ascii="Times New Roman" w:hAnsi="Times New Roman"/>
                <w:i/>
                <w:sz w:val="24"/>
              </w:rPr>
              <w:t>Payments</w:t>
            </w:r>
            <w:proofErr w:type="spellEnd"/>
            <w:r w:rsidRPr="00CC28D3">
              <w:rPr>
                <w:rFonts w:ascii="Times New Roman" w:hAnsi="Times New Roman"/>
                <w:i/>
                <w:sz w:val="24"/>
              </w:rPr>
              <w:t xml:space="preserve"> </w:t>
            </w:r>
            <w:proofErr w:type="spellStart"/>
            <w:r w:rsidRPr="00CC28D3">
              <w:rPr>
                <w:rFonts w:ascii="Times New Roman" w:hAnsi="Times New Roman"/>
                <w:i/>
                <w:sz w:val="24"/>
              </w:rPr>
              <w:t>Vademecum</w:t>
            </w:r>
            <w:proofErr w:type="spellEnd"/>
            <w:r w:rsidRPr="00CC28D3">
              <w:rPr>
                <w:rFonts w:ascii="Times New Roman" w:hAnsi="Times New Roman"/>
                <w:sz w:val="24"/>
              </w:rPr>
              <w:t xml:space="preserve"> (Príručka platobnej bilancie)</w:t>
            </w:r>
            <w:r w:rsidR="00CC28D3">
              <w:rPr>
                <w:rFonts w:ascii="Times New Roman" w:hAnsi="Times New Roman"/>
                <w:sz w:val="24"/>
              </w:rPr>
              <w:t xml:space="preserve"> v </w:t>
            </w:r>
            <w:r w:rsidRPr="00CC28D3">
              <w:rPr>
                <w:rFonts w:ascii="Times New Roman" w:hAnsi="Times New Roman"/>
                <w:sz w:val="24"/>
              </w:rPr>
              <w:t>znení zmien].</w:t>
            </w:r>
          </w:p>
        </w:tc>
      </w:tr>
      <w:tr w:rsidR="00EF74C7" w:rsidRPr="00CC28D3" w14:paraId="27926B1D" w14:textId="77777777" w:rsidTr="00822842">
        <w:trPr>
          <w:trHeight w:val="680"/>
        </w:trPr>
        <w:tc>
          <w:tcPr>
            <w:tcW w:w="1384" w:type="dxa"/>
          </w:tcPr>
          <w:p w14:paraId="2F19F110" w14:textId="77777777" w:rsidR="00EF74C7" w:rsidRPr="00CC28D3" w:rsidRDefault="00EF74C7" w:rsidP="00822842">
            <w:pPr>
              <w:pStyle w:val="Applicationdirecte"/>
              <w:spacing w:before="0" w:after="0"/>
            </w:pPr>
            <w:r w:rsidRPr="00CC28D3">
              <w:t>0070</w:t>
            </w:r>
          </w:p>
        </w:tc>
        <w:tc>
          <w:tcPr>
            <w:tcW w:w="7655" w:type="dxa"/>
            <w:vAlign w:val="center"/>
          </w:tcPr>
          <w:p w14:paraId="1141BEDE"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POČET TRANSAKCIÍ</w:t>
            </w:r>
          </w:p>
          <w:p w14:paraId="22440C23" w14:textId="50B3A957" w:rsidR="00EF74C7" w:rsidRPr="00CC28D3" w:rsidRDefault="00EF74C7" w:rsidP="00822842">
            <w:pPr>
              <w:keepNext/>
              <w:spacing w:before="60"/>
              <w:rPr>
                <w:rFonts w:ascii="Times New Roman" w:hAnsi="Times New Roman"/>
                <w:b/>
                <w:sz w:val="24"/>
                <w:u w:val="single"/>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0020 vo vzore C 34.02.</w:t>
            </w:r>
          </w:p>
        </w:tc>
      </w:tr>
      <w:tr w:rsidR="00EF74C7" w:rsidRPr="00CC28D3" w14:paraId="41609849" w14:textId="77777777" w:rsidTr="00822842">
        <w:trPr>
          <w:trHeight w:val="426"/>
        </w:trPr>
        <w:tc>
          <w:tcPr>
            <w:tcW w:w="1384" w:type="dxa"/>
          </w:tcPr>
          <w:p w14:paraId="37240D8E" w14:textId="77777777" w:rsidR="00EF74C7" w:rsidRPr="00CC28D3" w:rsidRDefault="00EF74C7" w:rsidP="00822842">
            <w:pPr>
              <w:pStyle w:val="Applicationdirecte"/>
              <w:spacing w:before="0" w:after="0"/>
            </w:pPr>
            <w:r w:rsidRPr="00CC28D3">
              <w:t>0080</w:t>
            </w:r>
          </w:p>
        </w:tc>
        <w:tc>
          <w:tcPr>
            <w:tcW w:w="7655" w:type="dxa"/>
            <w:vAlign w:val="center"/>
          </w:tcPr>
          <w:p w14:paraId="7D28C824"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POMYSELNÉ HODNOTY</w:t>
            </w:r>
          </w:p>
          <w:p w14:paraId="2092F8D4" w14:textId="6561F42F" w:rsidR="00EF74C7" w:rsidRPr="00CC28D3" w:rsidRDefault="00EF74C7" w:rsidP="00822842">
            <w:pPr>
              <w:keepNext/>
              <w:spacing w:before="60"/>
              <w:rPr>
                <w:rFonts w:ascii="Times New Roman" w:hAnsi="Times New Roman"/>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0030 vo vzore C 34.02.</w:t>
            </w:r>
          </w:p>
        </w:tc>
      </w:tr>
      <w:tr w:rsidR="00EF74C7" w:rsidRPr="00CC28D3" w14:paraId="6B0D6FEC" w14:textId="77777777" w:rsidTr="00822842">
        <w:trPr>
          <w:trHeight w:val="680"/>
        </w:trPr>
        <w:tc>
          <w:tcPr>
            <w:tcW w:w="1384" w:type="dxa"/>
          </w:tcPr>
          <w:p w14:paraId="31BEF5FF" w14:textId="77777777" w:rsidR="00EF74C7" w:rsidRPr="00CC28D3" w:rsidRDefault="00EF74C7" w:rsidP="00822842">
            <w:pPr>
              <w:pStyle w:val="Applicationdirecte"/>
              <w:spacing w:before="0" w:after="0"/>
            </w:pPr>
            <w:r w:rsidRPr="00CC28D3">
              <w:t>0090</w:t>
            </w:r>
          </w:p>
        </w:tc>
        <w:tc>
          <w:tcPr>
            <w:tcW w:w="7655" w:type="dxa"/>
            <w:vAlign w:val="center"/>
          </w:tcPr>
          <w:p w14:paraId="05F00A70"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SÚČASNÁ TRHOVÁ HODNOTA (CMV), kladná</w:t>
            </w:r>
          </w:p>
          <w:p w14:paraId="64CD1326" w14:textId="6002E000" w:rsidR="00EF74C7" w:rsidRPr="00CC28D3" w:rsidRDefault="00EF74C7" w:rsidP="00822842">
            <w:pPr>
              <w:keepNext/>
              <w:spacing w:before="60"/>
              <w:rPr>
                <w:rFonts w:ascii="Times New Roman" w:hAnsi="Times New Roman"/>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0040 vo vzore C 34.02.</w:t>
            </w:r>
          </w:p>
          <w:p w14:paraId="2A6475F1" w14:textId="5356C628" w:rsidR="00EF74C7" w:rsidRPr="00CC28D3" w:rsidRDefault="00EF74C7" w:rsidP="00822842">
            <w:pPr>
              <w:keepNext/>
              <w:spacing w:before="60"/>
              <w:rPr>
                <w:rFonts w:ascii="Times New Roman" w:hAnsi="Times New Roman"/>
                <w:b/>
                <w:sz w:val="24"/>
                <w:u w:val="single"/>
              </w:rPr>
            </w:pPr>
            <w:r w:rsidRPr="00CC28D3">
              <w:rPr>
                <w:rFonts w:ascii="Times New Roman" w:hAnsi="Times New Roman"/>
                <w:sz w:val="24"/>
              </w:rPr>
              <w:t>Ak existuje viacero súborov vzájomného započítavania pre tú istú protistranu, inštitúcia vykazuje súčet súborov vzájomného započítavania</w:t>
            </w:r>
            <w:r w:rsidR="00CC28D3">
              <w:rPr>
                <w:rFonts w:ascii="Times New Roman" w:hAnsi="Times New Roman"/>
                <w:sz w:val="24"/>
              </w:rPr>
              <w:t xml:space="preserve"> s </w:t>
            </w:r>
            <w:r w:rsidRPr="00CC28D3">
              <w:rPr>
                <w:rFonts w:ascii="Times New Roman" w:hAnsi="Times New Roman"/>
                <w:sz w:val="24"/>
              </w:rPr>
              <w:t>kladnou CMV.</w:t>
            </w:r>
          </w:p>
        </w:tc>
      </w:tr>
      <w:tr w:rsidR="00EF74C7" w:rsidRPr="00CC28D3" w14:paraId="11A7EB1F" w14:textId="77777777" w:rsidTr="00822842">
        <w:trPr>
          <w:trHeight w:val="680"/>
        </w:trPr>
        <w:tc>
          <w:tcPr>
            <w:tcW w:w="1384" w:type="dxa"/>
          </w:tcPr>
          <w:p w14:paraId="7D8B949C" w14:textId="77777777" w:rsidR="00EF74C7" w:rsidRPr="00CC28D3" w:rsidRDefault="00EF74C7" w:rsidP="00822842">
            <w:pPr>
              <w:pStyle w:val="Applicationdirecte"/>
              <w:spacing w:before="0" w:after="0"/>
            </w:pPr>
            <w:r w:rsidRPr="00CC28D3">
              <w:lastRenderedPageBreak/>
              <w:t>0100</w:t>
            </w:r>
          </w:p>
        </w:tc>
        <w:tc>
          <w:tcPr>
            <w:tcW w:w="7655" w:type="dxa"/>
            <w:vAlign w:val="center"/>
          </w:tcPr>
          <w:p w14:paraId="6ED129D1"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SÚČASNÁ TRHOVÁ HODNOTA (CMV), záporná</w:t>
            </w:r>
          </w:p>
          <w:p w14:paraId="693E2E96" w14:textId="7BC91B14" w:rsidR="00EF74C7" w:rsidRPr="00CC28D3" w:rsidRDefault="00EF74C7" w:rsidP="00822842">
            <w:pPr>
              <w:keepNext/>
              <w:spacing w:before="60"/>
              <w:rPr>
                <w:rFonts w:ascii="Times New Roman" w:hAnsi="Times New Roman"/>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0040 vo vzore C 34.02.</w:t>
            </w:r>
          </w:p>
          <w:p w14:paraId="118E0D7B"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sz w:val="24"/>
              </w:rPr>
              <w:t>Ak existuje viacero súborov vzájomného započítavania pre tú istú protistranu, inštitúcia vykazuje absolútny súčet súborov vzájomného započítavania so zápornou CMV.</w:t>
            </w:r>
          </w:p>
        </w:tc>
      </w:tr>
      <w:tr w:rsidR="00EF74C7" w:rsidRPr="00CC28D3" w14:paraId="733474D0" w14:textId="77777777" w:rsidTr="00822842">
        <w:trPr>
          <w:trHeight w:val="680"/>
        </w:trPr>
        <w:tc>
          <w:tcPr>
            <w:tcW w:w="1384" w:type="dxa"/>
          </w:tcPr>
          <w:p w14:paraId="71F3CA04" w14:textId="77777777" w:rsidR="00EF74C7" w:rsidRPr="00CC28D3" w:rsidRDefault="00EF74C7" w:rsidP="00822842">
            <w:pPr>
              <w:pStyle w:val="Applicationdirecte"/>
              <w:spacing w:before="0" w:after="0"/>
            </w:pPr>
            <w:r w:rsidRPr="00CC28D3">
              <w:t>0110</w:t>
            </w:r>
          </w:p>
        </w:tc>
        <w:tc>
          <w:tcPr>
            <w:tcW w:w="7655" w:type="dxa"/>
            <w:vAlign w:val="center"/>
          </w:tcPr>
          <w:p w14:paraId="3099FFC7"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HODNOTA EXPOZÍCIE PO ZMIERŇOVANÍ KREDITNÉHO RIZIKA</w:t>
            </w:r>
          </w:p>
          <w:p w14:paraId="553E2134" w14:textId="2091CCD7" w:rsidR="00CC28D3" w:rsidRDefault="00EF74C7" w:rsidP="00822842">
            <w:pPr>
              <w:keepNext/>
              <w:spacing w:before="60"/>
              <w:rPr>
                <w:rFonts w:ascii="Times New Roman" w:hAnsi="Times New Roman"/>
                <w:sz w:val="24"/>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0160 vo vzore C 34.02</w:t>
            </w:r>
            <w:r w:rsidR="00CC28D3">
              <w:rPr>
                <w:rFonts w:ascii="Times New Roman" w:hAnsi="Times New Roman"/>
                <w:sz w:val="24"/>
              </w:rPr>
              <w:t>.</w:t>
            </w:r>
          </w:p>
          <w:p w14:paraId="6904AB81" w14:textId="038D0D26" w:rsidR="00EF74C7" w:rsidRPr="00CC28D3" w:rsidRDefault="00EF74C7" w:rsidP="00822842">
            <w:pPr>
              <w:keepNext/>
              <w:spacing w:before="60"/>
              <w:rPr>
                <w:rFonts w:ascii="Times New Roman" w:hAnsi="Times New Roman"/>
                <w:b/>
                <w:sz w:val="24"/>
                <w:u w:val="single"/>
              </w:rPr>
            </w:pPr>
            <w:r w:rsidRPr="00CC28D3">
              <w:rPr>
                <w:rFonts w:ascii="Times New Roman" w:hAnsi="Times New Roman"/>
                <w:sz w:val="24"/>
              </w:rPr>
              <w:t>Ak existuje viacero súborov vzájomného započítavania pre tú istú protistranu, inštitúcia vykazuje súčet hodnôt expozícií súborov vzájomného započítavania po zmierňovaní kreditného rizika.</w:t>
            </w:r>
          </w:p>
        </w:tc>
      </w:tr>
      <w:tr w:rsidR="00EF74C7" w:rsidRPr="00CC28D3" w14:paraId="2DC25145" w14:textId="77777777" w:rsidTr="00822842">
        <w:trPr>
          <w:trHeight w:val="680"/>
        </w:trPr>
        <w:tc>
          <w:tcPr>
            <w:tcW w:w="1384" w:type="dxa"/>
          </w:tcPr>
          <w:p w14:paraId="3E72408E" w14:textId="77777777" w:rsidR="00EF74C7" w:rsidRPr="00CC28D3" w:rsidRDefault="00EF74C7" w:rsidP="00822842">
            <w:pPr>
              <w:pStyle w:val="Applicationdirecte"/>
              <w:spacing w:before="0" w:after="0"/>
            </w:pPr>
            <w:r w:rsidRPr="00CC28D3">
              <w:t>0120</w:t>
            </w:r>
          </w:p>
        </w:tc>
        <w:tc>
          <w:tcPr>
            <w:tcW w:w="7655" w:type="dxa"/>
            <w:vAlign w:val="center"/>
          </w:tcPr>
          <w:p w14:paraId="40235E21"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HODNOTA EXPOZÍCIE</w:t>
            </w:r>
          </w:p>
          <w:p w14:paraId="27DEE9F6" w14:textId="122ED0FD" w:rsidR="00EF74C7" w:rsidRPr="00CC28D3" w:rsidRDefault="00EF74C7" w:rsidP="00822842">
            <w:pPr>
              <w:keepNext/>
              <w:spacing w:before="60"/>
              <w:rPr>
                <w:rFonts w:ascii="Times New Roman" w:hAnsi="Times New Roman"/>
                <w:b/>
                <w:sz w:val="24"/>
                <w:u w:val="single"/>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0170 vo vzore C 34.02.</w:t>
            </w:r>
          </w:p>
        </w:tc>
      </w:tr>
      <w:tr w:rsidR="00EF74C7" w:rsidRPr="00CC28D3" w14:paraId="00801519" w14:textId="77777777" w:rsidTr="00822842">
        <w:trPr>
          <w:trHeight w:val="680"/>
        </w:trPr>
        <w:tc>
          <w:tcPr>
            <w:tcW w:w="1384" w:type="dxa"/>
          </w:tcPr>
          <w:p w14:paraId="12B481CF" w14:textId="77777777" w:rsidR="00EF74C7" w:rsidRPr="00CC28D3" w:rsidRDefault="00EF74C7" w:rsidP="00822842">
            <w:pPr>
              <w:pStyle w:val="Applicationdirecte"/>
              <w:spacing w:before="0" w:after="0"/>
            </w:pPr>
            <w:r w:rsidRPr="00CC28D3">
              <w:t>0130</w:t>
            </w:r>
          </w:p>
        </w:tc>
        <w:tc>
          <w:tcPr>
            <w:tcW w:w="7655" w:type="dxa"/>
            <w:vAlign w:val="center"/>
          </w:tcPr>
          <w:p w14:paraId="31E4AF74" w14:textId="77777777" w:rsidR="00EF74C7" w:rsidRPr="00CC28D3" w:rsidRDefault="00EF74C7" w:rsidP="00822842">
            <w:pPr>
              <w:keepNext/>
              <w:spacing w:before="60"/>
              <w:rPr>
                <w:rFonts w:ascii="Times New Roman" w:hAnsi="Times New Roman"/>
                <w:b/>
                <w:sz w:val="24"/>
                <w:u w:val="single"/>
              </w:rPr>
            </w:pPr>
            <w:r w:rsidRPr="00CC28D3">
              <w:rPr>
                <w:rFonts w:ascii="Times New Roman" w:hAnsi="Times New Roman"/>
                <w:b/>
                <w:sz w:val="24"/>
                <w:u w:val="single"/>
              </w:rPr>
              <w:t>HODNOTY RIZIKOVO VÁŽENÝCH EXPOZÍCIÍ</w:t>
            </w:r>
          </w:p>
          <w:p w14:paraId="2D2BB308" w14:textId="0959DB65" w:rsidR="00EF74C7" w:rsidRPr="00CC28D3" w:rsidRDefault="00EF74C7" w:rsidP="00822842">
            <w:pPr>
              <w:keepNext/>
              <w:spacing w:before="60"/>
              <w:rPr>
                <w:rFonts w:ascii="Times New Roman" w:hAnsi="Times New Roman"/>
                <w:b/>
                <w:sz w:val="24"/>
                <w:u w:val="single"/>
              </w:rPr>
            </w:pPr>
            <w:r w:rsidRPr="00CC28D3">
              <w:rPr>
                <w:rFonts w:ascii="Times New Roman" w:hAnsi="Times New Roman"/>
                <w:sz w:val="24"/>
              </w:rPr>
              <w:t>Pozri pokyny</w:t>
            </w:r>
            <w:r w:rsidR="00CC28D3">
              <w:rPr>
                <w:rFonts w:ascii="Times New Roman" w:hAnsi="Times New Roman"/>
                <w:sz w:val="24"/>
              </w:rPr>
              <w:t xml:space="preserve"> k </w:t>
            </w:r>
            <w:r w:rsidRPr="00CC28D3">
              <w:rPr>
                <w:rFonts w:ascii="Times New Roman" w:hAnsi="Times New Roman"/>
                <w:sz w:val="24"/>
              </w:rPr>
              <w:t>stĺpcu 0200 vo vzore C 34.02.</w:t>
            </w:r>
          </w:p>
        </w:tc>
      </w:tr>
    </w:tbl>
    <w:p w14:paraId="4CB615BB" w14:textId="77777777" w:rsidR="00EF74C7" w:rsidRPr="00CC28D3" w:rsidRDefault="00EF74C7" w:rsidP="00EF74C7">
      <w:pPr>
        <w:pStyle w:val="Titlelevel2"/>
        <w:spacing w:before="120" w:after="120"/>
        <w:jc w:val="both"/>
        <w:rPr>
          <w:rFonts w:ascii="Times New Roman" w:hAnsi="Times New Roman" w:cs="Times New Roman"/>
          <w:color w:val="auto"/>
          <w:sz w:val="24"/>
        </w:rPr>
      </w:pPr>
    </w:p>
    <w:p w14:paraId="7AD755E7" w14:textId="77777777" w:rsidR="00CC28D3" w:rsidRDefault="00EF74C7" w:rsidP="00EF74C7">
      <w:pPr>
        <w:pStyle w:val="Instructionsberschrift2"/>
        <w:numPr>
          <w:ilvl w:val="2"/>
          <w:numId w:val="29"/>
        </w:numPr>
        <w:rPr>
          <w:rFonts w:ascii="Times New Roman" w:hAnsi="Times New Roman"/>
          <w:sz w:val="24"/>
        </w:rPr>
      </w:pPr>
      <w:bookmarkStart w:id="48" w:name="_Toc19715819"/>
      <w:bookmarkStart w:id="49" w:name="_Toc151714459"/>
      <w:r w:rsidRPr="00CC28D3">
        <w:rPr>
          <w:rFonts w:ascii="Times New Roman" w:hAnsi="Times New Roman"/>
          <w:sz w:val="24"/>
        </w:rPr>
        <w:t>C 34.07 – Prístup IRB – expozície voči CCR podľa triedy expozícií</w:t>
      </w:r>
      <w:r w:rsidR="00CC28D3">
        <w:rPr>
          <w:rFonts w:ascii="Times New Roman" w:hAnsi="Times New Roman"/>
          <w:sz w:val="24"/>
        </w:rPr>
        <w:t xml:space="preserve"> a </w:t>
      </w:r>
      <w:r w:rsidRPr="00CC28D3">
        <w:rPr>
          <w:rFonts w:ascii="Times New Roman" w:hAnsi="Times New Roman"/>
          <w:sz w:val="24"/>
        </w:rPr>
        <w:t>stupnice PD</w:t>
      </w:r>
      <w:bookmarkEnd w:id="48"/>
      <w:bookmarkEnd w:id="49"/>
    </w:p>
    <w:p w14:paraId="5DE58571" w14:textId="53ABA49F" w:rsidR="00EF74C7" w:rsidRPr="00CC28D3"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sidRPr="00CC28D3">
        <w:rPr>
          <w:rFonts w:ascii="Times New Roman" w:hAnsi="Times New Roman"/>
          <w:sz w:val="24"/>
        </w:rPr>
        <w:t>Všeobecné poznámky</w:t>
      </w:r>
      <w:bookmarkEnd w:id="50"/>
      <w:bookmarkEnd w:id="51"/>
    </w:p>
    <w:p w14:paraId="6C679D23" w14:textId="452C71C3" w:rsid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128</w:t>
      </w:r>
      <w:r w:rsidRPr="00CC28D3">
        <w:fldChar w:fldCharType="end"/>
      </w:r>
      <w:r w:rsidRPr="00CC28D3">
        <w:t>. Inštitúcie vykazujú tento vzor</w:t>
      </w:r>
      <w:r w:rsidR="00CC28D3">
        <w:t xml:space="preserve"> s </w:t>
      </w:r>
      <w:r w:rsidRPr="00CC28D3">
        <w:t>použitím pokročilého alebo základného prístupu IRB na výpočet hodnôt rizikovo vážených expozícií pre všetky svoje expozície voči CCR alebo časť</w:t>
      </w:r>
      <w:r w:rsidR="00CC28D3">
        <w:t xml:space="preserve"> z </w:t>
      </w:r>
      <w:r w:rsidRPr="00CC28D3">
        <w:t>nich</w:t>
      </w:r>
      <w:r w:rsidR="00CC28D3">
        <w:t xml:space="preserve"> v </w:t>
      </w:r>
      <w:r w:rsidRPr="00CC28D3">
        <w:t>súlade</w:t>
      </w:r>
      <w:r w:rsidR="00CC28D3">
        <w:t xml:space="preserve"> s </w:t>
      </w:r>
      <w:r w:rsidRPr="00CC28D3">
        <w:t xml:space="preserve">článkom 107 nariadenia (EÚ) </w:t>
      </w:r>
      <w:r w:rsidR="00CC28D3">
        <w:t>č. </w:t>
      </w:r>
      <w:r w:rsidRPr="00CC28D3">
        <w:t>575/2013,</w:t>
      </w:r>
      <w:r w:rsidR="00CC28D3">
        <w:t xml:space="preserve"> a </w:t>
      </w:r>
      <w:r w:rsidRPr="00CC28D3">
        <w:t>to bez ohľadu na prístup CCR použitý na určenie hodnôt expozícií</w:t>
      </w:r>
      <w:r w:rsidR="00CC28D3">
        <w:t xml:space="preserve"> v </w:t>
      </w:r>
      <w:r w:rsidRPr="00CC28D3">
        <w:t>súlade</w:t>
      </w:r>
      <w:r w:rsidR="00CC28D3">
        <w:t xml:space="preserve"> s </w:t>
      </w:r>
      <w:r w:rsidRPr="00CC28D3">
        <w:t>treťou časťou hlavou II kapitolami 4</w:t>
      </w:r>
      <w:r w:rsidR="00CC28D3">
        <w:t xml:space="preserve"> a </w:t>
      </w:r>
      <w:r w:rsidRPr="00CC28D3">
        <w:t xml:space="preserve">6 nariadenia (EÚ) </w:t>
      </w:r>
      <w:r w:rsidR="00CC28D3">
        <w:t>č. </w:t>
      </w:r>
      <w:r w:rsidRPr="00CC28D3">
        <w:t>575/2013</w:t>
      </w:r>
      <w:r w:rsidR="00CC28D3">
        <w:t>.</w:t>
      </w:r>
    </w:p>
    <w:p w14:paraId="65BACEF1" w14:textId="27531D8A" w:rsid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129</w:t>
      </w:r>
      <w:r w:rsidRPr="00CC28D3">
        <w:fldChar w:fldCharType="end"/>
      </w:r>
      <w:r w:rsidRPr="00CC28D3">
        <w:t>. Vzor sa vykazuje osobitne pre všetky triedy expozícií spolu, ako aj osobitne pre každú</w:t>
      </w:r>
      <w:r w:rsidR="00CC28D3">
        <w:t xml:space="preserve"> z </w:t>
      </w:r>
      <w:r w:rsidRPr="00CC28D3">
        <w:t>tried expozícií uvedených</w:t>
      </w:r>
      <w:r w:rsidR="00CC28D3">
        <w:t xml:space="preserve"> v </w:t>
      </w:r>
      <w:r w:rsidRPr="00CC28D3">
        <w:t xml:space="preserve">článku 147 nariadenia (EÚ) </w:t>
      </w:r>
      <w:r w:rsidR="00CC28D3">
        <w:t>č. </w:t>
      </w:r>
      <w:r w:rsidRPr="00CC28D3">
        <w:t>575/2013.</w:t>
      </w:r>
      <w:r w:rsidR="00CC28D3">
        <w:t xml:space="preserve"> Z </w:t>
      </w:r>
      <w:r w:rsidRPr="00CC28D3">
        <w:t>tohto vzoru sú vylúčené expozície, ktoré sa zúčtovávajú prostredníctvom CCP</w:t>
      </w:r>
      <w:r w:rsidR="00CC28D3">
        <w:t>.</w:t>
      </w:r>
    </w:p>
    <w:p w14:paraId="606463EA" w14:textId="5E044AEA"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130</w:t>
      </w:r>
      <w:r w:rsidRPr="00CC28D3">
        <w:fldChar w:fldCharType="end"/>
      </w:r>
      <w:r w:rsidRPr="00CC28D3">
        <w:t>. Na vyjasnenie toho, či inštitúcia používa svoje vlastné odhady LGD a/alebo konverzných faktorov úverov, sa pre každú vykazovanú triedu expozícií uvádzajú tieto informácie:</w:t>
      </w:r>
    </w:p>
    <w:p w14:paraId="0659E66C" w14:textId="0957AE54" w:rsidR="00EF74C7" w:rsidRPr="00CC28D3" w:rsidRDefault="00EF74C7" w:rsidP="00EF74C7">
      <w:pPr>
        <w:autoSpaceDE w:val="0"/>
        <w:autoSpaceDN w:val="0"/>
        <w:adjustRightInd w:val="0"/>
        <w:spacing w:after="240"/>
        <w:ind w:left="709"/>
        <w:rPr>
          <w:rFonts w:ascii="Times New Roman" w:hAnsi="Times New Roman"/>
          <w:sz w:val="24"/>
        </w:rPr>
      </w:pPr>
      <w:r w:rsidRPr="00CC28D3">
        <w:rPr>
          <w:rFonts w:ascii="Times New Roman" w:hAnsi="Times New Roman"/>
          <w:sz w:val="24"/>
        </w:rPr>
        <w:t>„NIE“ =</w:t>
      </w:r>
      <w:r w:rsidR="00CC28D3">
        <w:rPr>
          <w:rFonts w:ascii="Times New Roman" w:hAnsi="Times New Roman"/>
          <w:sz w:val="24"/>
        </w:rPr>
        <w:t xml:space="preserve"> v </w:t>
      </w:r>
      <w:r w:rsidRPr="00CC28D3">
        <w:rPr>
          <w:rFonts w:ascii="Times New Roman" w:hAnsi="Times New Roman"/>
          <w:sz w:val="24"/>
        </w:rPr>
        <w:t>prípade používania odhadov LGD</w:t>
      </w:r>
      <w:r w:rsidR="00CC28D3">
        <w:rPr>
          <w:rFonts w:ascii="Times New Roman" w:hAnsi="Times New Roman"/>
          <w:sz w:val="24"/>
        </w:rPr>
        <w:t xml:space="preserve"> a </w:t>
      </w:r>
      <w:r w:rsidRPr="00CC28D3">
        <w:rPr>
          <w:rFonts w:ascii="Times New Roman" w:hAnsi="Times New Roman"/>
          <w:sz w:val="24"/>
        </w:rPr>
        <w:t>konverzných faktorov úverov od orgánov dohľadu (základný IRB)</w:t>
      </w:r>
    </w:p>
    <w:p w14:paraId="0309EC6D" w14:textId="77777777" w:rsidR="00CC28D3" w:rsidRDefault="00EF74C7" w:rsidP="00EF74C7">
      <w:pPr>
        <w:autoSpaceDE w:val="0"/>
        <w:autoSpaceDN w:val="0"/>
        <w:adjustRightInd w:val="0"/>
        <w:spacing w:after="240"/>
        <w:ind w:left="709"/>
        <w:rPr>
          <w:rFonts w:ascii="Times New Roman" w:hAnsi="Times New Roman"/>
          <w:sz w:val="24"/>
        </w:rPr>
      </w:pPr>
      <w:r w:rsidRPr="00CC28D3">
        <w:rPr>
          <w:rFonts w:ascii="Times New Roman" w:hAnsi="Times New Roman"/>
          <w:sz w:val="24"/>
        </w:rPr>
        <w:t>„ÁNO“ =</w:t>
      </w:r>
      <w:r w:rsidR="00CC28D3">
        <w:rPr>
          <w:rFonts w:ascii="Times New Roman" w:hAnsi="Times New Roman"/>
          <w:sz w:val="24"/>
        </w:rPr>
        <w:t xml:space="preserve"> v </w:t>
      </w:r>
      <w:r w:rsidRPr="00CC28D3">
        <w:rPr>
          <w:rFonts w:ascii="Times New Roman" w:hAnsi="Times New Roman"/>
          <w:sz w:val="24"/>
        </w:rPr>
        <w:t>prípade používania vlastných odhadov LGD</w:t>
      </w:r>
      <w:r w:rsidR="00CC28D3">
        <w:rPr>
          <w:rFonts w:ascii="Times New Roman" w:hAnsi="Times New Roman"/>
          <w:sz w:val="24"/>
        </w:rPr>
        <w:t xml:space="preserve"> a </w:t>
      </w:r>
      <w:r w:rsidRPr="00CC28D3">
        <w:rPr>
          <w:rFonts w:ascii="Times New Roman" w:hAnsi="Times New Roman"/>
          <w:sz w:val="24"/>
        </w:rPr>
        <w:t>konverzných faktorov úverov (pokročilý IRB)</w:t>
      </w:r>
    </w:p>
    <w:p w14:paraId="32D25096" w14:textId="68403A50" w:rsidR="00EF74C7" w:rsidRPr="00CC28D3"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sidRPr="00CC28D3">
        <w:rPr>
          <w:rFonts w:ascii="Times New Roman" w:hAnsi="Times New Roman"/>
          <w:sz w:val="24"/>
        </w:rPr>
        <w:lastRenderedPageBreak/>
        <w:t>Pokyny týkajúce sa konkrétnych pozícií</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CC28D3" w14:paraId="0D87515F" w14:textId="77777777" w:rsidTr="00822842">
        <w:trPr>
          <w:trHeight w:val="238"/>
        </w:trPr>
        <w:tc>
          <w:tcPr>
            <w:tcW w:w="9067" w:type="dxa"/>
            <w:shd w:val="clear" w:color="auto" w:fill="D9D9D9" w:themeFill="background1" w:themeFillShade="D9"/>
          </w:tcPr>
          <w:p w14:paraId="496A4935" w14:textId="77777777" w:rsidR="00EF74C7" w:rsidRPr="00CC28D3" w:rsidRDefault="00EF74C7" w:rsidP="00CC28D3">
            <w:pPr>
              <w:keepNext/>
              <w:keepLines/>
              <w:autoSpaceDE w:val="0"/>
              <w:autoSpaceDN w:val="0"/>
              <w:adjustRightInd w:val="0"/>
              <w:rPr>
                <w:rFonts w:ascii="Times New Roman" w:hAnsi="Times New Roman"/>
                <w:b/>
                <w:sz w:val="24"/>
              </w:rPr>
            </w:pPr>
            <w:r w:rsidRPr="00CC28D3">
              <w:rPr>
                <w:rFonts w:ascii="Times New Roman" w:hAnsi="Times New Roman"/>
                <w:b/>
                <w:sz w:val="24"/>
              </w:rPr>
              <w:t>Stĺpce</w:t>
            </w:r>
          </w:p>
        </w:tc>
      </w:tr>
    </w:tbl>
    <w:tbl>
      <w:tblPr>
        <w:tblStyle w:val="TableGrid"/>
        <w:tblW w:w="9067" w:type="dxa"/>
        <w:tblLook w:val="04A0" w:firstRow="1" w:lastRow="0" w:firstColumn="1" w:lastColumn="0" w:noHBand="0" w:noVBand="1"/>
      </w:tblPr>
      <w:tblGrid>
        <w:gridCol w:w="1413"/>
        <w:gridCol w:w="7654"/>
      </w:tblGrid>
      <w:tr w:rsidR="00EF74C7" w:rsidRPr="00CC28D3" w14:paraId="5CB4A790" w14:textId="77777777" w:rsidTr="00822842">
        <w:tc>
          <w:tcPr>
            <w:tcW w:w="1413" w:type="dxa"/>
          </w:tcPr>
          <w:p w14:paraId="1B495832" w14:textId="77777777" w:rsidR="00EF74C7" w:rsidRPr="00CC28D3" w:rsidRDefault="00EF74C7" w:rsidP="00CC28D3">
            <w:pPr>
              <w:keepNext/>
              <w:keepLines/>
              <w:spacing w:before="60" w:after="240"/>
              <w:rPr>
                <w:rFonts w:ascii="Times New Roman" w:hAnsi="Times New Roman"/>
                <w:sz w:val="24"/>
                <w:szCs w:val="22"/>
              </w:rPr>
            </w:pPr>
            <w:r w:rsidRPr="00CC28D3">
              <w:rPr>
                <w:rFonts w:ascii="Times New Roman" w:hAnsi="Times New Roman"/>
                <w:sz w:val="24"/>
              </w:rPr>
              <w:t>0010</w:t>
            </w:r>
          </w:p>
        </w:tc>
        <w:tc>
          <w:tcPr>
            <w:tcW w:w="7654" w:type="dxa"/>
          </w:tcPr>
          <w:p w14:paraId="71CB7BE5" w14:textId="77777777" w:rsidR="00CC28D3" w:rsidRDefault="00EF74C7" w:rsidP="00CC28D3">
            <w:pPr>
              <w:keepNext/>
              <w:keepLines/>
              <w:spacing w:before="60"/>
              <w:rPr>
                <w:rStyle w:val="InstructionsTabelleberschrift"/>
                <w:rFonts w:ascii="Times New Roman" w:hAnsi="Times New Roman"/>
                <w:sz w:val="24"/>
              </w:rPr>
            </w:pPr>
            <w:r w:rsidRPr="00CC28D3">
              <w:rPr>
                <w:rStyle w:val="InstructionsTabelleberschrift"/>
                <w:rFonts w:ascii="Times New Roman" w:hAnsi="Times New Roman"/>
                <w:sz w:val="24"/>
              </w:rPr>
              <w:t>Hodnota expozície</w:t>
            </w:r>
          </w:p>
          <w:p w14:paraId="2C3DDF84" w14:textId="0B7A66EE" w:rsidR="00EF74C7" w:rsidRPr="00CC28D3" w:rsidRDefault="00EF74C7" w:rsidP="00CC28D3">
            <w:pPr>
              <w:keepNext/>
              <w:keepLines/>
              <w:spacing w:before="60" w:after="240"/>
              <w:rPr>
                <w:rFonts w:ascii="Times New Roman" w:hAnsi="Times New Roman"/>
                <w:sz w:val="24"/>
              </w:rPr>
            </w:pPr>
            <w:r w:rsidRPr="00CC28D3">
              <w:rPr>
                <w:rFonts w:ascii="Times New Roman" w:hAnsi="Times New Roman"/>
                <w:sz w:val="24"/>
              </w:rPr>
              <w:t>Hodnota expozície (pozri pokyny</w:t>
            </w:r>
            <w:r w:rsidR="00CC28D3">
              <w:rPr>
                <w:rFonts w:ascii="Times New Roman" w:hAnsi="Times New Roman"/>
                <w:sz w:val="24"/>
              </w:rPr>
              <w:t xml:space="preserve"> k </w:t>
            </w:r>
            <w:r w:rsidRPr="00CC28D3">
              <w:rPr>
                <w:rFonts w:ascii="Times New Roman" w:hAnsi="Times New Roman"/>
                <w:sz w:val="24"/>
              </w:rPr>
              <w:t>stĺpcu 0170 vo vzore C 34.02),</w:t>
            </w:r>
            <w:r w:rsidR="00CC28D3">
              <w:rPr>
                <w:rFonts w:ascii="Times New Roman" w:hAnsi="Times New Roman"/>
                <w:sz w:val="24"/>
              </w:rPr>
              <w:t xml:space="preserve"> v </w:t>
            </w:r>
            <w:r w:rsidRPr="00CC28D3">
              <w:rPr>
                <w:rFonts w:ascii="Times New Roman" w:hAnsi="Times New Roman"/>
                <w:sz w:val="24"/>
              </w:rPr>
              <w:t>rozčlenení podľa danej stupnice PD.</w:t>
            </w:r>
          </w:p>
        </w:tc>
      </w:tr>
      <w:tr w:rsidR="00EF74C7" w:rsidRPr="00CC28D3" w14:paraId="7A3BA614" w14:textId="77777777" w:rsidTr="00822842">
        <w:tc>
          <w:tcPr>
            <w:tcW w:w="1413" w:type="dxa"/>
          </w:tcPr>
          <w:p w14:paraId="198D2CA3" w14:textId="77777777" w:rsidR="00EF74C7" w:rsidRPr="00CC28D3" w:rsidRDefault="00EF74C7" w:rsidP="00822842">
            <w:pPr>
              <w:spacing w:before="60" w:after="240"/>
              <w:rPr>
                <w:rFonts w:ascii="Times New Roman" w:hAnsi="Times New Roman"/>
                <w:sz w:val="24"/>
                <w:szCs w:val="22"/>
              </w:rPr>
            </w:pPr>
            <w:r w:rsidRPr="00CC28D3">
              <w:rPr>
                <w:rFonts w:ascii="Times New Roman" w:hAnsi="Times New Roman"/>
                <w:sz w:val="24"/>
              </w:rPr>
              <w:t>0020</w:t>
            </w:r>
          </w:p>
        </w:tc>
        <w:tc>
          <w:tcPr>
            <w:tcW w:w="7654" w:type="dxa"/>
          </w:tcPr>
          <w:p w14:paraId="57F61D37" w14:textId="77777777" w:rsidR="00EF74C7" w:rsidRPr="00CC28D3" w:rsidRDefault="00EF74C7" w:rsidP="00822842">
            <w:pPr>
              <w:spacing w:before="60" w:after="240"/>
              <w:rPr>
                <w:rStyle w:val="InstructionsTabelleberschrift"/>
                <w:rFonts w:ascii="Times New Roman" w:hAnsi="Times New Roman"/>
                <w:sz w:val="24"/>
              </w:rPr>
            </w:pPr>
            <w:r w:rsidRPr="00CC28D3">
              <w:rPr>
                <w:rStyle w:val="InstructionsTabelleberschrift"/>
                <w:rFonts w:ascii="Times New Roman" w:hAnsi="Times New Roman"/>
                <w:sz w:val="24"/>
              </w:rPr>
              <w:t>Expozíciami vážená priemerná PD (%)</w:t>
            </w:r>
          </w:p>
          <w:p w14:paraId="17CBA312" w14:textId="1B3193FD" w:rsidR="00EF74C7" w:rsidRPr="00CC28D3" w:rsidRDefault="00EF74C7" w:rsidP="00822842">
            <w:pPr>
              <w:spacing w:before="60" w:after="240"/>
              <w:rPr>
                <w:rFonts w:ascii="Times New Roman" w:hAnsi="Times New Roman"/>
                <w:sz w:val="24"/>
              </w:rPr>
            </w:pPr>
            <w:r w:rsidRPr="00CC28D3">
              <w:rPr>
                <w:rFonts w:ascii="Times New Roman" w:hAnsi="Times New Roman"/>
                <w:sz w:val="24"/>
              </w:rPr>
              <w:t>Priemer PD jednotlivých ratingových stupňov dlžníkov vážený ich zodpovedajúcou hodnotou expozície</w:t>
            </w:r>
            <w:r w:rsidR="00CC28D3">
              <w:rPr>
                <w:rFonts w:ascii="Times New Roman" w:hAnsi="Times New Roman"/>
                <w:sz w:val="24"/>
              </w:rPr>
              <w:t xml:space="preserve"> v </w:t>
            </w:r>
            <w:r w:rsidRPr="00CC28D3">
              <w:rPr>
                <w:rFonts w:ascii="Times New Roman" w:hAnsi="Times New Roman"/>
                <w:sz w:val="24"/>
              </w:rPr>
              <w:t>zmysle vymedzenia pre stĺpec 0010.</w:t>
            </w:r>
          </w:p>
        </w:tc>
      </w:tr>
      <w:tr w:rsidR="00EF74C7" w:rsidRPr="00CC28D3" w14:paraId="463531AA" w14:textId="77777777" w:rsidTr="00822842">
        <w:tc>
          <w:tcPr>
            <w:tcW w:w="1413" w:type="dxa"/>
          </w:tcPr>
          <w:p w14:paraId="5D5F447A" w14:textId="77777777" w:rsidR="00EF74C7" w:rsidRPr="00CC28D3" w:rsidRDefault="00EF74C7" w:rsidP="00822842">
            <w:pPr>
              <w:spacing w:before="60" w:after="240"/>
              <w:rPr>
                <w:rFonts w:ascii="Times New Roman" w:hAnsi="Times New Roman"/>
                <w:sz w:val="24"/>
                <w:szCs w:val="22"/>
              </w:rPr>
            </w:pPr>
            <w:r w:rsidRPr="00CC28D3">
              <w:rPr>
                <w:rFonts w:ascii="Times New Roman" w:hAnsi="Times New Roman"/>
                <w:sz w:val="24"/>
              </w:rPr>
              <w:t>0030</w:t>
            </w:r>
          </w:p>
        </w:tc>
        <w:tc>
          <w:tcPr>
            <w:tcW w:w="7654" w:type="dxa"/>
          </w:tcPr>
          <w:p w14:paraId="55E29719"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Počet dlžníkov</w:t>
            </w:r>
          </w:p>
          <w:p w14:paraId="75633515" w14:textId="265CEC51" w:rsidR="00EF74C7" w:rsidRPr="00CC28D3" w:rsidRDefault="00EF74C7" w:rsidP="00822842">
            <w:pPr>
              <w:rPr>
                <w:rFonts w:ascii="Times New Roman" w:hAnsi="Times New Roman"/>
                <w:sz w:val="24"/>
              </w:rPr>
            </w:pPr>
            <w:r w:rsidRPr="00CC28D3">
              <w:rPr>
                <w:rFonts w:ascii="Times New Roman" w:hAnsi="Times New Roman"/>
                <w:sz w:val="24"/>
              </w:rPr>
              <w:t>Počet právnych subjektov alebo dlžníkov priradených ku každej skupine pevnej stupnice PD, ktorí boli osobitne ohodnotení, bez ohľadu na počet jednotlivých poskytnutých úverov alebo expozícií.</w:t>
            </w:r>
          </w:p>
          <w:p w14:paraId="79F85080" w14:textId="4C99DA38" w:rsidR="00EF74C7" w:rsidRPr="00CC28D3" w:rsidRDefault="00EF74C7" w:rsidP="00822842">
            <w:pPr>
              <w:rPr>
                <w:rFonts w:ascii="Times New Roman" w:hAnsi="Times New Roman"/>
                <w:sz w:val="24"/>
              </w:rPr>
            </w:pPr>
            <w:r w:rsidRPr="00CC28D3">
              <w:rPr>
                <w:rFonts w:ascii="Times New Roman" w:hAnsi="Times New Roman"/>
                <w:sz w:val="24"/>
              </w:rPr>
              <w:t>Ak sa jednotlivé expozície voči tomu istému dlžníkovi ohodnocujú osobitne, spočítavajú sa osobitne. Takáto situácia sa môže vyskytnúť vtedy, ak sa samostatné expozície voči tomu istému dlžníkovi zaradia do rôznych ratingových stupňov dlžníkov</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172 ods. 1 písm. e) druhou vetou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239943F5" w14:textId="77777777" w:rsidTr="00822842">
        <w:tc>
          <w:tcPr>
            <w:tcW w:w="1413" w:type="dxa"/>
          </w:tcPr>
          <w:p w14:paraId="01BF27A5" w14:textId="77777777" w:rsidR="00EF74C7" w:rsidRPr="00CC28D3" w:rsidRDefault="00EF74C7" w:rsidP="00822842">
            <w:pPr>
              <w:spacing w:before="60" w:after="240"/>
              <w:rPr>
                <w:rFonts w:ascii="Times New Roman" w:hAnsi="Times New Roman"/>
                <w:sz w:val="24"/>
                <w:szCs w:val="22"/>
              </w:rPr>
            </w:pPr>
            <w:r w:rsidRPr="00CC28D3">
              <w:rPr>
                <w:rFonts w:ascii="Times New Roman" w:hAnsi="Times New Roman"/>
                <w:sz w:val="24"/>
              </w:rPr>
              <w:t>0040</w:t>
            </w:r>
          </w:p>
        </w:tc>
        <w:tc>
          <w:tcPr>
            <w:tcW w:w="7654" w:type="dxa"/>
          </w:tcPr>
          <w:p w14:paraId="1D60931A" w14:textId="77777777" w:rsidR="00EF74C7" w:rsidRPr="00CC28D3" w:rsidRDefault="00EF74C7" w:rsidP="00822842">
            <w:pPr>
              <w:spacing w:before="60" w:after="240"/>
              <w:rPr>
                <w:rStyle w:val="InstructionsTabelleberschrift"/>
                <w:rFonts w:ascii="Times New Roman" w:hAnsi="Times New Roman"/>
                <w:sz w:val="24"/>
              </w:rPr>
            </w:pPr>
            <w:r w:rsidRPr="00CC28D3">
              <w:rPr>
                <w:rStyle w:val="InstructionsTabelleberschrift"/>
                <w:rFonts w:ascii="Times New Roman" w:hAnsi="Times New Roman"/>
                <w:sz w:val="24"/>
              </w:rPr>
              <w:t>Expozíciami vážená priemerná LGD (%)</w:t>
            </w:r>
          </w:p>
          <w:p w14:paraId="1CF7FBBB" w14:textId="0E8D5D68" w:rsidR="00EF74C7" w:rsidRPr="00CC28D3" w:rsidRDefault="00EF74C7" w:rsidP="00822842">
            <w:pPr>
              <w:spacing w:before="60" w:after="240"/>
              <w:rPr>
                <w:rFonts w:ascii="Times New Roman" w:hAnsi="Times New Roman"/>
                <w:sz w:val="24"/>
              </w:rPr>
            </w:pPr>
            <w:r w:rsidRPr="00CC28D3">
              <w:rPr>
                <w:rFonts w:ascii="Times New Roman" w:hAnsi="Times New Roman"/>
                <w:sz w:val="24"/>
              </w:rPr>
              <w:t>Priemer LGD ratingových stupňov dlžníkov vážený ich zodpovedajúcou hodnotou expozície</w:t>
            </w:r>
            <w:r w:rsidR="00CC28D3">
              <w:rPr>
                <w:rFonts w:ascii="Times New Roman" w:hAnsi="Times New Roman"/>
                <w:sz w:val="24"/>
              </w:rPr>
              <w:t xml:space="preserve"> v </w:t>
            </w:r>
            <w:r w:rsidRPr="00CC28D3">
              <w:rPr>
                <w:rFonts w:ascii="Times New Roman" w:hAnsi="Times New Roman"/>
                <w:sz w:val="24"/>
              </w:rPr>
              <w:t>zmysle vymedzenia pre stĺpec 0010.</w:t>
            </w:r>
          </w:p>
          <w:p w14:paraId="7080F0A6" w14:textId="442E6C8F" w:rsidR="00EF74C7" w:rsidRPr="00CC28D3" w:rsidRDefault="00EF74C7" w:rsidP="00822842">
            <w:pPr>
              <w:rPr>
                <w:rFonts w:ascii="Times New Roman" w:hAnsi="Times New Roman"/>
                <w:sz w:val="24"/>
              </w:rPr>
            </w:pPr>
            <w:r w:rsidRPr="00CC28D3">
              <w:rPr>
                <w:rFonts w:ascii="Times New Roman" w:hAnsi="Times New Roman"/>
                <w:sz w:val="24"/>
              </w:rPr>
              <w:t>Vykazovaná LGD zodpovedá konečnému odhadu LGD použitému pri výpočte hodnôt rizikovo vážených expozícií získaných po zohľadnení všetkých účinkov zmierňovania kreditného rizika</w:t>
            </w:r>
            <w:r w:rsidR="00CC28D3">
              <w:rPr>
                <w:rFonts w:ascii="Times New Roman" w:hAnsi="Times New Roman"/>
                <w:sz w:val="24"/>
              </w:rPr>
              <w:t xml:space="preserve"> a </w:t>
            </w:r>
            <w:r w:rsidRPr="00CC28D3">
              <w:rPr>
                <w:rFonts w:ascii="Times New Roman" w:hAnsi="Times New Roman"/>
                <w:sz w:val="24"/>
              </w:rPr>
              <w:t>prípadne podmienok poklesu, ako sa špecifikuje</w:t>
            </w:r>
            <w:r w:rsidR="00CC28D3">
              <w:rPr>
                <w:rFonts w:ascii="Times New Roman" w:hAnsi="Times New Roman"/>
                <w:sz w:val="24"/>
              </w:rPr>
              <w:t xml:space="preserve"> v </w:t>
            </w:r>
            <w:r w:rsidRPr="00CC28D3">
              <w:rPr>
                <w:rFonts w:ascii="Times New Roman" w:hAnsi="Times New Roman"/>
                <w:sz w:val="24"/>
              </w:rPr>
              <w:t>tretej časti hlave II kapitolách 3</w:t>
            </w:r>
            <w:r w:rsidR="00CC28D3">
              <w:rPr>
                <w:rFonts w:ascii="Times New Roman" w:hAnsi="Times New Roman"/>
                <w:sz w:val="24"/>
              </w:rPr>
              <w:t xml:space="preserve"> a </w:t>
            </w:r>
            <w:r w:rsidRPr="00CC28D3">
              <w:rPr>
                <w:rFonts w:ascii="Times New Roman" w:hAnsi="Times New Roman"/>
                <w:sz w:val="24"/>
              </w:rPr>
              <w:t xml:space="preserve">4 nariadenia (EÚ) </w:t>
            </w:r>
            <w:r w:rsidR="00CC28D3">
              <w:rPr>
                <w:rFonts w:ascii="Times New Roman" w:hAnsi="Times New Roman"/>
                <w:sz w:val="24"/>
              </w:rPr>
              <w:t>č. </w:t>
            </w:r>
            <w:r w:rsidRPr="00CC28D3">
              <w:rPr>
                <w:rFonts w:ascii="Times New Roman" w:hAnsi="Times New Roman"/>
                <w:sz w:val="24"/>
              </w:rPr>
              <w:t>575/2013. Konkrétne pre inštitúcie, ktoré uplatňujú prístup IRB, ale nepoužívajú svoje vlastné odhady LGD, sa účinky zmierňovania rizika finančného kolaterálu zohľadňujú</w:t>
            </w:r>
            <w:r w:rsidR="00CC28D3">
              <w:rPr>
                <w:rFonts w:ascii="Times New Roman" w:hAnsi="Times New Roman"/>
                <w:sz w:val="24"/>
              </w:rPr>
              <w:t xml:space="preserve"> v </w:t>
            </w:r>
            <w:r w:rsidRPr="00CC28D3">
              <w:rPr>
                <w:rFonts w:ascii="Times New Roman" w:hAnsi="Times New Roman"/>
                <w:sz w:val="24"/>
              </w:rPr>
              <w:t>E*, plne upravenej hodnote expozície,</w:t>
            </w:r>
            <w:r w:rsidR="00CC28D3">
              <w:rPr>
                <w:rFonts w:ascii="Times New Roman" w:hAnsi="Times New Roman"/>
                <w:sz w:val="24"/>
              </w:rPr>
              <w:t xml:space="preserve"> a </w:t>
            </w:r>
            <w:r w:rsidRPr="00CC28D3">
              <w:rPr>
                <w:rFonts w:ascii="Times New Roman" w:hAnsi="Times New Roman"/>
                <w:sz w:val="24"/>
              </w:rPr>
              <w:t>potom sa zohľadnia</w:t>
            </w:r>
            <w:r w:rsidR="00CC28D3">
              <w:rPr>
                <w:rFonts w:ascii="Times New Roman" w:hAnsi="Times New Roman"/>
                <w:sz w:val="24"/>
              </w:rPr>
              <w:t xml:space="preserve"> v </w:t>
            </w:r>
            <w:r w:rsidRPr="00CC28D3">
              <w:rPr>
                <w:rFonts w:ascii="Times New Roman" w:hAnsi="Times New Roman"/>
                <w:sz w:val="24"/>
              </w:rPr>
              <w:t>LGD*</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230 nariadenia (EÚ) </w:t>
            </w:r>
            <w:r w:rsidR="00CC28D3">
              <w:rPr>
                <w:rFonts w:ascii="Times New Roman" w:hAnsi="Times New Roman"/>
                <w:sz w:val="24"/>
              </w:rPr>
              <w:t>č. </w:t>
            </w:r>
            <w:r w:rsidRPr="00CC28D3">
              <w:rPr>
                <w:rFonts w:ascii="Times New Roman" w:hAnsi="Times New Roman"/>
                <w:sz w:val="24"/>
              </w:rPr>
              <w:t>575/2013. Ak sa používajú vlastné odhady LGD, zohľadňuje sa článok 175</w:t>
            </w:r>
            <w:r w:rsidR="00CC28D3">
              <w:rPr>
                <w:rFonts w:ascii="Times New Roman" w:hAnsi="Times New Roman"/>
                <w:sz w:val="24"/>
              </w:rPr>
              <w:t xml:space="preserve"> a </w:t>
            </w:r>
            <w:r w:rsidRPr="00CC28D3">
              <w:rPr>
                <w:rFonts w:ascii="Times New Roman" w:hAnsi="Times New Roman"/>
                <w:sz w:val="24"/>
              </w:rPr>
              <w:t>článok 181 ods. 1</w:t>
            </w:r>
            <w:r w:rsidR="00CC28D3">
              <w:rPr>
                <w:rFonts w:ascii="Times New Roman" w:hAnsi="Times New Roman"/>
                <w:sz w:val="24"/>
              </w:rPr>
              <w:t xml:space="preserve"> a </w:t>
            </w:r>
            <w:r w:rsidRPr="00CC28D3">
              <w:rPr>
                <w:rFonts w:ascii="Times New Roman" w:hAnsi="Times New Roman"/>
                <w:sz w:val="24"/>
              </w:rPr>
              <w:t xml:space="preserve">2 nariadenia (EÚ) </w:t>
            </w:r>
            <w:r w:rsidR="00CC28D3">
              <w:rPr>
                <w:rFonts w:ascii="Times New Roman" w:hAnsi="Times New Roman"/>
                <w:sz w:val="24"/>
              </w:rPr>
              <w:t>č. </w:t>
            </w:r>
            <w:r w:rsidRPr="00CC28D3">
              <w:rPr>
                <w:rFonts w:ascii="Times New Roman" w:hAnsi="Times New Roman"/>
                <w:sz w:val="24"/>
              </w:rPr>
              <w:t>575/2013.</w:t>
            </w:r>
          </w:p>
          <w:p w14:paraId="1D9D0798" w14:textId="71C4921E" w:rsidR="00EF74C7" w:rsidRPr="00CC28D3" w:rsidRDefault="00EF74C7" w:rsidP="00822842">
            <w:pPr>
              <w:rPr>
                <w:rFonts w:ascii="Times New Roman" w:hAnsi="Times New Roman"/>
                <w:sz w:val="24"/>
              </w:rPr>
            </w:pPr>
            <w:r w:rsidRPr="00CC28D3">
              <w:rPr>
                <w:rFonts w:ascii="Times New Roman" w:hAnsi="Times New Roman"/>
                <w:sz w:val="24"/>
              </w:rPr>
              <w:t>V prípade expozícií, na ktoré sa vzťahuje prístup dvojnásobného zlyhania, LGD, ktorá sa má vykázať, zodpovedá LGD zvolenej</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161 ods. 4 nariadenia (EÚ) </w:t>
            </w:r>
            <w:r w:rsidR="00CC28D3">
              <w:rPr>
                <w:rFonts w:ascii="Times New Roman" w:hAnsi="Times New Roman"/>
                <w:sz w:val="24"/>
              </w:rPr>
              <w:t>č. </w:t>
            </w:r>
            <w:r w:rsidRPr="00CC28D3">
              <w:rPr>
                <w:rFonts w:ascii="Times New Roman" w:hAnsi="Times New Roman"/>
                <w:sz w:val="24"/>
              </w:rPr>
              <w:t>575/2013.</w:t>
            </w:r>
          </w:p>
          <w:p w14:paraId="2C390C4A" w14:textId="692A4A6A" w:rsidR="00EF74C7" w:rsidRPr="00CC28D3" w:rsidRDefault="00EF74C7" w:rsidP="00822842">
            <w:pPr>
              <w:spacing w:before="60" w:after="240"/>
              <w:rPr>
                <w:rFonts w:ascii="Times New Roman" w:hAnsi="Times New Roman"/>
                <w:strike/>
                <w:sz w:val="24"/>
              </w:rPr>
            </w:pPr>
            <w:r w:rsidRPr="00CC28D3">
              <w:rPr>
                <w:rFonts w:ascii="Times New Roman" w:hAnsi="Times New Roman"/>
                <w:sz w:val="24"/>
              </w:rPr>
              <w:t>V prípade expozícií</w:t>
            </w:r>
            <w:r w:rsidR="00CC28D3">
              <w:rPr>
                <w:rFonts w:ascii="Times New Roman" w:hAnsi="Times New Roman"/>
                <w:sz w:val="24"/>
              </w:rPr>
              <w:t xml:space="preserve"> v </w:t>
            </w:r>
            <w:r w:rsidRPr="00CC28D3">
              <w:rPr>
                <w:rFonts w:ascii="Times New Roman" w:hAnsi="Times New Roman"/>
                <w:sz w:val="24"/>
              </w:rPr>
              <w:t>stave zlyhania podľa prístupu A-IRB sa zohľadňujú ustanovenia uvedené</w:t>
            </w:r>
            <w:r w:rsidR="00CC28D3">
              <w:rPr>
                <w:rFonts w:ascii="Times New Roman" w:hAnsi="Times New Roman"/>
                <w:sz w:val="24"/>
              </w:rPr>
              <w:t xml:space="preserve"> v </w:t>
            </w:r>
            <w:r w:rsidRPr="00CC28D3">
              <w:rPr>
                <w:rFonts w:ascii="Times New Roman" w:hAnsi="Times New Roman"/>
                <w:sz w:val="24"/>
              </w:rPr>
              <w:t xml:space="preserve">článku 181 ods. 1 písm. h) nariadenia (EÚ) </w:t>
            </w:r>
            <w:r w:rsidR="00CC28D3">
              <w:rPr>
                <w:rFonts w:ascii="Times New Roman" w:hAnsi="Times New Roman"/>
                <w:sz w:val="24"/>
              </w:rPr>
              <w:t>č. </w:t>
            </w:r>
            <w:r w:rsidRPr="00CC28D3">
              <w:rPr>
                <w:rFonts w:ascii="Times New Roman" w:hAnsi="Times New Roman"/>
                <w:sz w:val="24"/>
              </w:rPr>
              <w:t>575/2013. Vykazovaná LDG zodpovedá odhadu LGD</w:t>
            </w:r>
            <w:r w:rsidR="00CC28D3">
              <w:rPr>
                <w:rFonts w:ascii="Times New Roman" w:hAnsi="Times New Roman"/>
                <w:sz w:val="24"/>
              </w:rPr>
              <w:t xml:space="preserve"> v </w:t>
            </w:r>
            <w:r w:rsidRPr="00CC28D3">
              <w:rPr>
                <w:rFonts w:ascii="Times New Roman" w:hAnsi="Times New Roman"/>
                <w:sz w:val="24"/>
              </w:rPr>
              <w:t xml:space="preserve">stave zlyhania. </w:t>
            </w:r>
          </w:p>
        </w:tc>
      </w:tr>
      <w:tr w:rsidR="00EF74C7" w:rsidRPr="00CC28D3" w14:paraId="6EA42417" w14:textId="77777777" w:rsidTr="00822842">
        <w:tc>
          <w:tcPr>
            <w:tcW w:w="1413" w:type="dxa"/>
          </w:tcPr>
          <w:p w14:paraId="49D0D602" w14:textId="77777777" w:rsidR="00EF74C7" w:rsidRPr="00CC28D3" w:rsidRDefault="00EF74C7" w:rsidP="00822842">
            <w:pPr>
              <w:spacing w:before="60" w:after="240"/>
              <w:rPr>
                <w:rFonts w:ascii="Times New Roman" w:hAnsi="Times New Roman"/>
                <w:sz w:val="24"/>
              </w:rPr>
            </w:pPr>
            <w:r w:rsidRPr="00CC28D3">
              <w:rPr>
                <w:rFonts w:ascii="Times New Roman" w:hAnsi="Times New Roman"/>
                <w:sz w:val="24"/>
              </w:rPr>
              <w:t>0050</w:t>
            </w:r>
          </w:p>
        </w:tc>
        <w:tc>
          <w:tcPr>
            <w:tcW w:w="7654" w:type="dxa"/>
          </w:tcPr>
          <w:p w14:paraId="6BAEF9EB" w14:textId="77777777" w:rsidR="00EF74C7" w:rsidRP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Expozíciami vážená priemerná splatnosť (v rokoch)</w:t>
            </w:r>
          </w:p>
          <w:p w14:paraId="32B69B7E" w14:textId="72BA0449" w:rsidR="00EF74C7" w:rsidRPr="00CC28D3" w:rsidRDefault="00EF74C7" w:rsidP="00822842">
            <w:pPr>
              <w:spacing w:before="60"/>
              <w:rPr>
                <w:rFonts w:ascii="Times New Roman" w:hAnsi="Times New Roman"/>
                <w:sz w:val="24"/>
              </w:rPr>
            </w:pPr>
            <w:r w:rsidRPr="00CC28D3">
              <w:rPr>
                <w:rStyle w:val="InstructionsTabelleberschrift"/>
                <w:rFonts w:ascii="Times New Roman" w:hAnsi="Times New Roman"/>
                <w:b w:val="0"/>
                <w:sz w:val="24"/>
                <w:u w:val="none"/>
              </w:rPr>
              <w:lastRenderedPageBreak/>
              <w:t>Priemer</w:t>
            </w:r>
            <w:r w:rsidRPr="00CC28D3">
              <w:rPr>
                <w:rFonts w:ascii="Times New Roman" w:hAnsi="Times New Roman"/>
                <w:sz w:val="24"/>
              </w:rPr>
              <w:t xml:space="preserve"> splatností dlžníkov</w:t>
            </w:r>
            <w:r w:rsidR="00CC28D3">
              <w:rPr>
                <w:rFonts w:ascii="Times New Roman" w:hAnsi="Times New Roman"/>
                <w:sz w:val="24"/>
              </w:rPr>
              <w:t xml:space="preserve"> v </w:t>
            </w:r>
            <w:r w:rsidRPr="00CC28D3">
              <w:rPr>
                <w:rFonts w:ascii="Times New Roman" w:hAnsi="Times New Roman"/>
                <w:sz w:val="24"/>
              </w:rPr>
              <w:t>rokoch vážený ich zodpovedajúcou hodnotou expozície</w:t>
            </w:r>
            <w:r w:rsidR="00CC28D3">
              <w:rPr>
                <w:rFonts w:ascii="Times New Roman" w:hAnsi="Times New Roman"/>
                <w:sz w:val="24"/>
              </w:rPr>
              <w:t xml:space="preserve"> v </w:t>
            </w:r>
            <w:r w:rsidRPr="00CC28D3">
              <w:rPr>
                <w:rFonts w:ascii="Times New Roman" w:hAnsi="Times New Roman"/>
                <w:sz w:val="24"/>
              </w:rPr>
              <w:t>zmysle vymedzenia pre stĺpec 0010.</w:t>
            </w:r>
          </w:p>
          <w:p w14:paraId="2277F2A3" w14:textId="3EF42CB2" w:rsidR="00EF74C7" w:rsidRPr="00CC28D3" w:rsidRDefault="00EF74C7" w:rsidP="00822842">
            <w:pPr>
              <w:rPr>
                <w:rFonts w:ascii="Times New Roman" w:hAnsi="Times New Roman"/>
                <w:sz w:val="24"/>
              </w:rPr>
            </w:pPr>
            <w:r w:rsidRPr="00CC28D3">
              <w:rPr>
                <w:rFonts w:ascii="Times New Roman" w:hAnsi="Times New Roman"/>
                <w:sz w:val="24"/>
              </w:rPr>
              <w:t>Splatnosť sa určuje</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článkom 162 nariadenia (EÚ) </w:t>
            </w:r>
            <w:r w:rsidR="00CC28D3">
              <w:rPr>
                <w:rFonts w:ascii="Times New Roman" w:hAnsi="Times New Roman"/>
                <w:sz w:val="24"/>
              </w:rPr>
              <w:t>č. </w:t>
            </w:r>
            <w:r w:rsidRPr="00CC28D3">
              <w:rPr>
                <w:rFonts w:ascii="Times New Roman" w:hAnsi="Times New Roman"/>
                <w:sz w:val="24"/>
              </w:rPr>
              <w:t xml:space="preserve">575/2013. </w:t>
            </w:r>
          </w:p>
        </w:tc>
      </w:tr>
      <w:tr w:rsidR="00EF74C7" w:rsidRPr="00CC28D3" w14:paraId="5B18C05A" w14:textId="77777777" w:rsidTr="00822842">
        <w:tc>
          <w:tcPr>
            <w:tcW w:w="1413" w:type="dxa"/>
          </w:tcPr>
          <w:p w14:paraId="2A096E22" w14:textId="77777777" w:rsidR="00EF74C7" w:rsidRPr="00CC28D3" w:rsidRDefault="00EF74C7" w:rsidP="00822842">
            <w:pPr>
              <w:spacing w:before="60" w:after="240"/>
              <w:rPr>
                <w:sz w:val="24"/>
              </w:rPr>
            </w:pPr>
            <w:r w:rsidRPr="00CC28D3">
              <w:rPr>
                <w:rFonts w:ascii="Times New Roman" w:hAnsi="Times New Roman"/>
                <w:sz w:val="24"/>
              </w:rPr>
              <w:lastRenderedPageBreak/>
              <w:t>0060</w:t>
            </w:r>
          </w:p>
        </w:tc>
        <w:tc>
          <w:tcPr>
            <w:tcW w:w="7654" w:type="dxa"/>
          </w:tcPr>
          <w:p w14:paraId="47EE991F" w14:textId="77777777" w:rsidR="00CC28D3" w:rsidRDefault="00EF74C7" w:rsidP="00822842">
            <w:pPr>
              <w:spacing w:before="60"/>
              <w:rPr>
                <w:rFonts w:ascii="Times New Roman" w:hAnsi="Times New Roman"/>
                <w:i/>
                <w:sz w:val="24"/>
              </w:rPr>
            </w:pPr>
            <w:r w:rsidRPr="00CC28D3">
              <w:rPr>
                <w:rStyle w:val="InstructionsTabelleberschrift"/>
                <w:rFonts w:ascii="Times New Roman" w:hAnsi="Times New Roman"/>
                <w:sz w:val="24"/>
              </w:rPr>
              <w:t>Hodnoty rizikovo vážených expozícií</w:t>
            </w:r>
          </w:p>
          <w:p w14:paraId="41562D31" w14:textId="13C0E528" w:rsidR="00CC28D3" w:rsidRDefault="00EF74C7" w:rsidP="00822842">
            <w:pPr>
              <w:spacing w:before="60"/>
              <w:rPr>
                <w:rFonts w:ascii="Times New Roman" w:hAnsi="Times New Roman"/>
                <w:sz w:val="24"/>
              </w:rPr>
            </w:pPr>
            <w:r w:rsidRPr="00CC28D3">
              <w:rPr>
                <w:rFonts w:ascii="Times New Roman" w:hAnsi="Times New Roman"/>
                <w:sz w:val="24"/>
              </w:rPr>
              <w:t>Hodnoty rizikovo vážených expozícií</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92 ods. 3 nariadenia (EÚ) </w:t>
            </w:r>
            <w:r w:rsidR="00CC28D3">
              <w:rPr>
                <w:rFonts w:ascii="Times New Roman" w:hAnsi="Times New Roman"/>
                <w:sz w:val="24"/>
              </w:rPr>
              <w:t>č. </w:t>
            </w:r>
            <w:r w:rsidRPr="00CC28D3">
              <w:rPr>
                <w:rFonts w:ascii="Times New Roman" w:hAnsi="Times New Roman"/>
                <w:sz w:val="24"/>
              </w:rPr>
              <w:t>575/2013 pre pozície, ktorých rizikové váhy sa odhadujú na základe požiadaviek stanovených</w:t>
            </w:r>
            <w:r w:rsidR="00CC28D3">
              <w:rPr>
                <w:rFonts w:ascii="Times New Roman" w:hAnsi="Times New Roman"/>
                <w:sz w:val="24"/>
              </w:rPr>
              <w:t xml:space="preserve"> v </w:t>
            </w:r>
            <w:r w:rsidRPr="00CC28D3">
              <w:rPr>
                <w:rFonts w:ascii="Times New Roman" w:hAnsi="Times New Roman"/>
                <w:sz w:val="24"/>
              </w:rPr>
              <w:t xml:space="preserve">tretej časti hlave II kapitole 3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a </w:t>
            </w:r>
            <w:r w:rsidRPr="00CC28D3">
              <w:rPr>
                <w:rFonts w:ascii="Times New Roman" w:hAnsi="Times New Roman"/>
                <w:sz w:val="24"/>
              </w:rPr>
              <w:t>pri ktorých sa hodnota expozície pre obchodné činnosti, na ktoré sa vzťahuje CCR, vypočítava</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treťou časťou hlavou II kapitolami 4</w:t>
            </w:r>
            <w:r w:rsidR="00CC28D3">
              <w:rPr>
                <w:rFonts w:ascii="Times New Roman" w:hAnsi="Times New Roman"/>
                <w:sz w:val="24"/>
              </w:rPr>
              <w:t xml:space="preserve"> a </w:t>
            </w:r>
            <w:r w:rsidRPr="00CC28D3">
              <w:rPr>
                <w:rFonts w:ascii="Times New Roman" w:hAnsi="Times New Roman"/>
                <w:sz w:val="24"/>
              </w:rPr>
              <w:t>6 uvedeného nariadenia</w:t>
            </w:r>
            <w:r w:rsidR="00CC28D3">
              <w:rPr>
                <w:rFonts w:ascii="Times New Roman" w:hAnsi="Times New Roman"/>
                <w:sz w:val="24"/>
              </w:rPr>
              <w:t>.</w:t>
            </w:r>
          </w:p>
          <w:p w14:paraId="7071DC2E" w14:textId="7CDFBFDF" w:rsidR="00EF74C7" w:rsidRPr="00CC28D3" w:rsidRDefault="00EF74C7" w:rsidP="00822842">
            <w:pPr>
              <w:spacing w:before="60" w:after="240"/>
              <w:rPr>
                <w:rFonts w:ascii="Times New Roman" w:hAnsi="Times New Roman"/>
                <w:i/>
                <w:sz w:val="24"/>
              </w:rPr>
            </w:pPr>
            <w:r w:rsidRPr="00CC28D3">
              <w:rPr>
                <w:rFonts w:ascii="Times New Roman" w:hAnsi="Times New Roman"/>
                <w:sz w:val="24"/>
              </w:rPr>
              <w:t>Zohľadňujú sa faktory na podporu MSP</w:t>
            </w:r>
            <w:r w:rsidR="00CC28D3">
              <w:rPr>
                <w:rFonts w:ascii="Times New Roman" w:hAnsi="Times New Roman"/>
                <w:sz w:val="24"/>
              </w:rPr>
              <w:t xml:space="preserve"> a </w:t>
            </w:r>
            <w:r w:rsidRPr="00CC28D3">
              <w:rPr>
                <w:rFonts w:ascii="Times New Roman" w:hAnsi="Times New Roman"/>
                <w:sz w:val="24"/>
              </w:rPr>
              <w:t>infraštruktúry stanovené</w:t>
            </w:r>
            <w:r w:rsidR="00CC28D3">
              <w:rPr>
                <w:rFonts w:ascii="Times New Roman" w:hAnsi="Times New Roman"/>
                <w:sz w:val="24"/>
              </w:rPr>
              <w:t xml:space="preserve"> v </w:t>
            </w:r>
            <w:r w:rsidRPr="00CC28D3">
              <w:rPr>
                <w:rFonts w:ascii="Times New Roman" w:hAnsi="Times New Roman"/>
                <w:sz w:val="24"/>
              </w:rPr>
              <w:t>článkoch 501</w:t>
            </w:r>
            <w:r w:rsidR="00CC28D3">
              <w:rPr>
                <w:rFonts w:ascii="Times New Roman" w:hAnsi="Times New Roman"/>
                <w:sz w:val="24"/>
              </w:rPr>
              <w:t xml:space="preserve"> a </w:t>
            </w:r>
            <w:r w:rsidRPr="00CC28D3">
              <w:rPr>
                <w:rFonts w:ascii="Times New Roman" w:hAnsi="Times New Roman"/>
                <w:sz w:val="24"/>
              </w:rPr>
              <w:t xml:space="preserve">501a nariadenia (EÚ) </w:t>
            </w:r>
            <w:r w:rsidR="00CC28D3">
              <w:rPr>
                <w:rFonts w:ascii="Times New Roman" w:hAnsi="Times New Roman"/>
                <w:sz w:val="24"/>
              </w:rPr>
              <w:t>č. </w:t>
            </w:r>
            <w:r w:rsidRPr="00CC28D3">
              <w:rPr>
                <w:rFonts w:ascii="Times New Roman" w:hAnsi="Times New Roman"/>
                <w:sz w:val="24"/>
              </w:rPr>
              <w:t xml:space="preserve">575/2013. </w:t>
            </w:r>
          </w:p>
        </w:tc>
      </w:tr>
      <w:tr w:rsidR="00EF74C7" w:rsidRPr="00CC28D3" w14:paraId="4BA3B7AB" w14:textId="77777777" w:rsidTr="00822842">
        <w:tc>
          <w:tcPr>
            <w:tcW w:w="1413" w:type="dxa"/>
          </w:tcPr>
          <w:p w14:paraId="5F982F69" w14:textId="77777777" w:rsidR="00EF74C7" w:rsidRPr="00CC28D3" w:rsidRDefault="00EF74C7" w:rsidP="00822842">
            <w:pPr>
              <w:spacing w:before="60" w:after="240"/>
              <w:rPr>
                <w:sz w:val="24"/>
              </w:rPr>
            </w:pPr>
            <w:r w:rsidRPr="00CC28D3">
              <w:rPr>
                <w:rFonts w:ascii="Times New Roman" w:hAnsi="Times New Roman"/>
                <w:sz w:val="24"/>
              </w:rPr>
              <w:t>0070</w:t>
            </w:r>
          </w:p>
        </w:tc>
        <w:tc>
          <w:tcPr>
            <w:tcW w:w="7654" w:type="dxa"/>
          </w:tcPr>
          <w:p w14:paraId="52FB2AD2"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Hustota hodnôt rizikovo vážených expozícií</w:t>
            </w:r>
          </w:p>
          <w:p w14:paraId="2D69B724" w14:textId="27751D8B" w:rsidR="00EF74C7" w:rsidRPr="00CC28D3" w:rsidDel="00291448" w:rsidRDefault="00EF74C7" w:rsidP="00822842">
            <w:pPr>
              <w:spacing w:before="60"/>
              <w:rPr>
                <w:rFonts w:ascii="Times New Roman" w:hAnsi="Times New Roman"/>
                <w:sz w:val="24"/>
              </w:rPr>
            </w:pPr>
            <w:r w:rsidRPr="00CC28D3">
              <w:rPr>
                <w:rFonts w:ascii="Times New Roman" w:hAnsi="Times New Roman"/>
                <w:sz w:val="24"/>
              </w:rPr>
              <w:t>Pomer celkových hodnôt rizikovo vážených expozícií (vykazovaných</w:t>
            </w:r>
            <w:r w:rsidR="00CC28D3">
              <w:rPr>
                <w:rFonts w:ascii="Times New Roman" w:hAnsi="Times New Roman"/>
                <w:sz w:val="24"/>
              </w:rPr>
              <w:t xml:space="preserve"> v </w:t>
            </w:r>
            <w:r w:rsidRPr="00CC28D3">
              <w:rPr>
                <w:rFonts w:ascii="Times New Roman" w:hAnsi="Times New Roman"/>
                <w:sz w:val="24"/>
              </w:rPr>
              <w:t>stĺpci 0060)</w:t>
            </w:r>
            <w:r w:rsidR="00CC28D3">
              <w:rPr>
                <w:rFonts w:ascii="Times New Roman" w:hAnsi="Times New Roman"/>
                <w:sz w:val="24"/>
              </w:rPr>
              <w:t xml:space="preserve"> k </w:t>
            </w:r>
            <w:r w:rsidRPr="00CC28D3">
              <w:rPr>
                <w:rFonts w:ascii="Times New Roman" w:hAnsi="Times New Roman"/>
                <w:sz w:val="24"/>
              </w:rPr>
              <w:t>hodnote expozície (vykazovanej</w:t>
            </w:r>
            <w:r w:rsidR="00CC28D3">
              <w:rPr>
                <w:rFonts w:ascii="Times New Roman" w:hAnsi="Times New Roman"/>
                <w:sz w:val="24"/>
              </w:rPr>
              <w:t xml:space="preserve"> v </w:t>
            </w:r>
            <w:r w:rsidRPr="00CC28D3">
              <w:rPr>
                <w:rFonts w:ascii="Times New Roman" w:hAnsi="Times New Roman"/>
                <w:sz w:val="24"/>
              </w:rPr>
              <w:t>stĺpci 0010).</w:t>
            </w:r>
          </w:p>
        </w:tc>
      </w:tr>
    </w:tbl>
    <w:p w14:paraId="62CA01EC" w14:textId="77777777" w:rsidR="00EF74C7" w:rsidRPr="00CC28D3"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175F0F1C" w14:textId="77777777" w:rsidTr="00822842">
        <w:trPr>
          <w:trHeight w:val="720"/>
        </w:trPr>
        <w:tc>
          <w:tcPr>
            <w:tcW w:w="9039" w:type="dxa"/>
            <w:gridSpan w:val="2"/>
            <w:shd w:val="clear" w:color="auto" w:fill="D9D9D9" w:themeFill="background1" w:themeFillShade="D9"/>
          </w:tcPr>
          <w:p w14:paraId="7AB89CAA"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b/>
                <w:sz w:val="24"/>
              </w:rPr>
              <w:t xml:space="preserve">Riadky </w:t>
            </w:r>
          </w:p>
        </w:tc>
      </w:tr>
      <w:tr w:rsidR="00EF74C7" w:rsidRPr="00CC28D3" w14:paraId="68004F65" w14:textId="77777777" w:rsidTr="00822842">
        <w:trPr>
          <w:trHeight w:val="680"/>
        </w:trPr>
        <w:tc>
          <w:tcPr>
            <w:tcW w:w="1384" w:type="dxa"/>
          </w:tcPr>
          <w:p w14:paraId="34D367A2" w14:textId="77777777" w:rsidR="00EF74C7" w:rsidRPr="00CC28D3" w:rsidRDefault="00EF74C7" w:rsidP="00822842">
            <w:pPr>
              <w:pStyle w:val="Applicationdirecte"/>
              <w:spacing w:before="60" w:after="0"/>
              <w:jc w:val="center"/>
            </w:pPr>
            <w:r w:rsidRPr="00CC28D3">
              <w:t>0010 – 0170</w:t>
            </w:r>
          </w:p>
        </w:tc>
        <w:tc>
          <w:tcPr>
            <w:tcW w:w="7655" w:type="dxa"/>
            <w:vAlign w:val="center"/>
          </w:tcPr>
          <w:p w14:paraId="2D3B901D" w14:textId="77777777" w:rsidR="00EF74C7" w:rsidRPr="00CC28D3" w:rsidRDefault="00EF74C7" w:rsidP="00822842">
            <w:pPr>
              <w:spacing w:before="60"/>
              <w:rPr>
                <w:rFonts w:ascii="Times New Roman" w:hAnsi="Times New Roman"/>
                <w:b/>
                <w:bCs/>
                <w:sz w:val="24"/>
                <w:u w:val="single"/>
              </w:rPr>
            </w:pPr>
            <w:r w:rsidRPr="00CC28D3">
              <w:rPr>
                <w:rStyle w:val="InstructionsTabelleberschrift"/>
                <w:rFonts w:ascii="Times New Roman" w:hAnsi="Times New Roman"/>
                <w:sz w:val="24"/>
              </w:rPr>
              <w:t>Stupnica PD</w:t>
            </w:r>
          </w:p>
          <w:p w14:paraId="61146F57" w14:textId="474E4090" w:rsidR="00EF74C7" w:rsidRPr="00CC28D3" w:rsidRDefault="00EF74C7" w:rsidP="00822842">
            <w:pPr>
              <w:spacing w:before="60"/>
              <w:rPr>
                <w:rFonts w:ascii="Times New Roman" w:hAnsi="Times New Roman"/>
                <w:sz w:val="24"/>
              </w:rPr>
            </w:pPr>
            <w:r w:rsidRPr="00CC28D3">
              <w:rPr>
                <w:rFonts w:ascii="Times New Roman" w:hAnsi="Times New Roman"/>
                <w:sz w:val="24"/>
              </w:rPr>
              <w:t>Expozície voči CCR (určované na úrovni protistrany) sa zaraďujú do príslušnej skupiny pevnej stupnice PD na základe PD odhadovanej pre každého dlžníka zaradeného do tejto triedy expozícií (pri zohľadnení akejkoľvek substitúcie</w:t>
            </w:r>
            <w:r w:rsidR="00CC28D3">
              <w:rPr>
                <w:rFonts w:ascii="Times New Roman" w:hAnsi="Times New Roman"/>
                <w:sz w:val="24"/>
              </w:rPr>
              <w:t xml:space="preserve"> v </w:t>
            </w:r>
            <w:r w:rsidRPr="00CC28D3">
              <w:rPr>
                <w:rFonts w:ascii="Times New Roman" w:hAnsi="Times New Roman"/>
                <w:sz w:val="24"/>
              </w:rPr>
              <w:t>dôsledku existencie záruky alebo kreditného derivátu). Inštitúcie priraďujú expozíciu za expozíciou</w:t>
            </w:r>
            <w:r w:rsidR="00CC28D3">
              <w:rPr>
                <w:rFonts w:ascii="Times New Roman" w:hAnsi="Times New Roman"/>
                <w:sz w:val="24"/>
              </w:rPr>
              <w:t xml:space="preserve"> k </w:t>
            </w:r>
            <w:r w:rsidRPr="00CC28D3">
              <w:rPr>
                <w:rFonts w:ascii="Times New Roman" w:hAnsi="Times New Roman"/>
                <w:sz w:val="24"/>
              </w:rPr>
              <w:t>stupnici PD uvedenej vo vzore, pričom zároveň zohľadňujú spojité stupnice. Všetky zlyhané expozície sa zahŕňajú do skupiny predstavujúcej PD na úrovni 100</w:t>
            </w:r>
            <w:r w:rsidR="00CC28D3">
              <w:rPr>
                <w:rFonts w:ascii="Times New Roman" w:hAnsi="Times New Roman"/>
                <w:sz w:val="24"/>
              </w:rPr>
              <w:t> %</w:t>
            </w:r>
            <w:r w:rsidRPr="00CC28D3">
              <w:rPr>
                <w:rFonts w:ascii="Times New Roman" w:hAnsi="Times New Roman"/>
                <w:sz w:val="24"/>
              </w:rPr>
              <w:t>.</w:t>
            </w:r>
          </w:p>
        </w:tc>
      </w:tr>
    </w:tbl>
    <w:p w14:paraId="6EF2BA05" w14:textId="77777777" w:rsidR="00EF74C7" w:rsidRPr="00CC28D3"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sidRPr="00CC28D3">
        <w:rPr>
          <w:rFonts w:ascii="Times New Roman" w:hAnsi="Times New Roman"/>
          <w:sz w:val="24"/>
        </w:rPr>
        <w:t>C 34.08 – Zloženie kolaterálu pre expozície voči CCR</w:t>
      </w:r>
      <w:bookmarkEnd w:id="54"/>
      <w:bookmarkEnd w:id="55"/>
    </w:p>
    <w:p w14:paraId="70D733F8"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sidRPr="00CC28D3">
        <w:rPr>
          <w:rFonts w:ascii="Times New Roman" w:hAnsi="Times New Roman"/>
          <w:sz w:val="24"/>
        </w:rPr>
        <w:t>Všeobecné poznámky</w:t>
      </w:r>
      <w:bookmarkEnd w:id="56"/>
      <w:bookmarkEnd w:id="57"/>
    </w:p>
    <w:p w14:paraId="6F786930" w14:textId="764160B4" w:rsid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131</w:t>
      </w:r>
      <w:r w:rsidRPr="00CC28D3">
        <w:fldChar w:fldCharType="end"/>
      </w:r>
      <w:r w:rsidRPr="00CC28D3">
        <w:t>.</w:t>
      </w:r>
      <w:r w:rsidR="00CC28D3">
        <w:t xml:space="preserve"> V </w:t>
      </w:r>
      <w:r w:rsidRPr="00CC28D3">
        <w:t>tomto vzore sa vypĺňajú reálne hodnoty kolaterálu (poskytnutého alebo prijatého), ktorý je použitý</w:t>
      </w:r>
      <w:r w:rsidR="00CC28D3">
        <w:t xml:space="preserve"> v </w:t>
      </w:r>
      <w:r w:rsidRPr="00CC28D3">
        <w:t>expozíciách voči CCR súvisiacich</w:t>
      </w:r>
      <w:r w:rsidR="00CC28D3">
        <w:t xml:space="preserve"> s </w:t>
      </w:r>
      <w:r w:rsidRPr="00CC28D3">
        <w:t>derivátovými transakciami, transakciami</w:t>
      </w:r>
      <w:r w:rsidR="00CC28D3">
        <w:t xml:space="preserve"> s </w:t>
      </w:r>
      <w:r w:rsidRPr="00CC28D3">
        <w:t>dlhou dobou vyrovnania alebo SFT, bez ohľadu na to, či sa transakcie zúčtovávajú prostredníctvom CCP alebo nie,</w:t>
      </w:r>
      <w:r w:rsidR="00CC28D3">
        <w:t xml:space="preserve"> a </w:t>
      </w:r>
      <w:r w:rsidRPr="00CC28D3">
        <w:t>bez ohľadu na to, či sa kolaterál poskytuje CCP alebo nie</w:t>
      </w:r>
      <w:r w:rsidR="00CC28D3">
        <w:t>.</w:t>
      </w:r>
    </w:p>
    <w:p w14:paraId="74E68575" w14:textId="22108985" w:rsidR="00EF74C7" w:rsidRPr="00CC28D3"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sidRPr="00CC28D3">
        <w:rPr>
          <w:rFonts w:ascii="Times New Roman" w:hAnsi="Times New Roman"/>
          <w:sz w:val="24"/>
        </w:rPr>
        <w:t>Pokyny týkajúce sa konkrétnych pozícií</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CC28D3" w:rsidRDefault="00EF74C7" w:rsidP="00822842">
            <w:pPr>
              <w:pStyle w:val="TableMainHeading"/>
              <w:spacing w:before="60"/>
              <w:rPr>
                <w:rFonts w:ascii="Times New Roman" w:hAnsi="Times New Roman"/>
                <w:b/>
                <w:sz w:val="24"/>
                <w:szCs w:val="24"/>
              </w:rPr>
            </w:pPr>
            <w:r w:rsidRPr="00CC28D3">
              <w:rPr>
                <w:rFonts w:ascii="Times New Roman" w:hAnsi="Times New Roman"/>
                <w:b/>
                <w:sz w:val="24"/>
              </w:rPr>
              <w:t xml:space="preserve">Stĺpce </w:t>
            </w:r>
          </w:p>
        </w:tc>
      </w:tr>
      <w:tr w:rsidR="00EF74C7" w:rsidRPr="00CC28D3" w14:paraId="26586561" w14:textId="77777777" w:rsidTr="00822842">
        <w:trPr>
          <w:trHeight w:val="680"/>
        </w:trPr>
        <w:tc>
          <w:tcPr>
            <w:tcW w:w="1384" w:type="dxa"/>
          </w:tcPr>
          <w:p w14:paraId="21B980D6" w14:textId="77777777" w:rsidR="00EF74C7" w:rsidRPr="00CC28D3" w:rsidRDefault="00EF74C7" w:rsidP="00822842">
            <w:pPr>
              <w:pStyle w:val="Applicationdirecte"/>
              <w:spacing w:before="60" w:after="0"/>
            </w:pPr>
            <w:r w:rsidRPr="00CC28D3">
              <w:t>0010 – 0080</w:t>
            </w:r>
          </w:p>
        </w:tc>
        <w:tc>
          <w:tcPr>
            <w:tcW w:w="7655" w:type="dxa"/>
            <w:vAlign w:val="center"/>
          </w:tcPr>
          <w:p w14:paraId="7C2869A7"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Kolaterál použitý</w:t>
            </w:r>
            <w:r w:rsidR="00CC28D3">
              <w:rPr>
                <w:rStyle w:val="InstructionsTabelleberschrift"/>
                <w:rFonts w:ascii="Times New Roman" w:hAnsi="Times New Roman"/>
                <w:sz w:val="24"/>
              </w:rPr>
              <w:t xml:space="preserve"> v </w:t>
            </w:r>
            <w:r w:rsidRPr="00CC28D3">
              <w:rPr>
                <w:rStyle w:val="InstructionsTabelleberschrift"/>
                <w:rFonts w:ascii="Times New Roman" w:hAnsi="Times New Roman"/>
                <w:sz w:val="24"/>
              </w:rPr>
              <w:t>derivátových transakciách</w:t>
            </w:r>
          </w:p>
          <w:p w14:paraId="0F03F847" w14:textId="19BADA38" w:rsidR="00EF74C7" w:rsidRPr="00CC28D3" w:rsidRDefault="00EF74C7" w:rsidP="00822842">
            <w:pPr>
              <w:pStyle w:val="numberedparagraph"/>
              <w:numPr>
                <w:ilvl w:val="0"/>
                <w:numId w:val="0"/>
              </w:numPr>
              <w:spacing w:before="60" w:line="240" w:lineRule="auto"/>
              <w:rPr>
                <w:rFonts w:ascii="Times New Roman" w:hAnsi="Times New Roman" w:cs="Times New Roman"/>
                <w:sz w:val="24"/>
              </w:rPr>
            </w:pPr>
            <w:r w:rsidRPr="00CC28D3">
              <w:rPr>
                <w:rFonts w:ascii="Times New Roman" w:hAnsi="Times New Roman"/>
                <w:sz w:val="24"/>
              </w:rPr>
              <w:lastRenderedPageBreak/>
              <w:t>Inštitúcie vykazujú kolaterál (vrátane kolaterálu počiatočnej marže</w:t>
            </w:r>
            <w:r w:rsidR="00CC28D3">
              <w:rPr>
                <w:rFonts w:ascii="Times New Roman" w:hAnsi="Times New Roman"/>
                <w:sz w:val="24"/>
              </w:rPr>
              <w:t xml:space="preserve"> a </w:t>
            </w:r>
            <w:r w:rsidRPr="00CC28D3">
              <w:rPr>
                <w:rFonts w:ascii="Times New Roman" w:hAnsi="Times New Roman"/>
                <w:sz w:val="24"/>
              </w:rPr>
              <w:t>kolaterálu variačnej marže), ktorý je použitý</w:t>
            </w:r>
            <w:r w:rsidR="00CC28D3">
              <w:rPr>
                <w:rFonts w:ascii="Times New Roman" w:hAnsi="Times New Roman"/>
                <w:sz w:val="24"/>
              </w:rPr>
              <w:t xml:space="preserve"> v </w:t>
            </w:r>
            <w:r w:rsidRPr="00CC28D3">
              <w:rPr>
                <w:rFonts w:ascii="Times New Roman" w:hAnsi="Times New Roman"/>
                <w:sz w:val="24"/>
              </w:rPr>
              <w:t>expozíciách voči CCR súvisiacich</w:t>
            </w:r>
            <w:r w:rsidR="00CC28D3">
              <w:rPr>
                <w:rFonts w:ascii="Times New Roman" w:hAnsi="Times New Roman"/>
                <w:sz w:val="24"/>
              </w:rPr>
              <w:t xml:space="preserve"> s </w:t>
            </w:r>
            <w:r w:rsidRPr="00CC28D3">
              <w:rPr>
                <w:rFonts w:ascii="Times New Roman" w:hAnsi="Times New Roman"/>
                <w:sz w:val="24"/>
              </w:rPr>
              <w:t>akýmkoľvek derivátovým nástrojom uvedeným</w:t>
            </w:r>
            <w:r w:rsidR="00CC28D3">
              <w:rPr>
                <w:rFonts w:ascii="Times New Roman" w:hAnsi="Times New Roman"/>
                <w:sz w:val="24"/>
              </w:rPr>
              <w:t xml:space="preserve"> v </w:t>
            </w:r>
            <w:r w:rsidRPr="00CC28D3">
              <w:rPr>
                <w:rFonts w:ascii="Times New Roman" w:hAnsi="Times New Roman"/>
                <w:sz w:val="24"/>
              </w:rPr>
              <w:t>prílohe II</w:t>
            </w:r>
            <w:r w:rsidR="00CC28D3">
              <w:rPr>
                <w:rFonts w:ascii="Times New Roman" w:hAnsi="Times New Roman"/>
                <w:sz w:val="24"/>
              </w:rPr>
              <w:t xml:space="preserve"> k </w:t>
            </w:r>
            <w:r w:rsidRPr="00CC28D3">
              <w:rPr>
                <w:rFonts w:ascii="Times New Roman" w:hAnsi="Times New Roman"/>
                <w:sz w:val="24"/>
              </w:rPr>
              <w:t xml:space="preserve">nariadeniu (EÚ) </w:t>
            </w:r>
            <w:r w:rsidR="00CC28D3">
              <w:rPr>
                <w:rFonts w:ascii="Times New Roman" w:hAnsi="Times New Roman"/>
                <w:sz w:val="24"/>
              </w:rPr>
              <w:t>č. </w:t>
            </w:r>
            <w:r w:rsidRPr="00CC28D3">
              <w:rPr>
                <w:rFonts w:ascii="Times New Roman" w:hAnsi="Times New Roman"/>
                <w:sz w:val="24"/>
              </w:rPr>
              <w:t>575/2013 alebo</w:t>
            </w:r>
            <w:r w:rsidR="00CC28D3">
              <w:rPr>
                <w:rFonts w:ascii="Times New Roman" w:hAnsi="Times New Roman"/>
                <w:sz w:val="24"/>
              </w:rPr>
              <w:t xml:space="preserve"> s </w:t>
            </w:r>
            <w:r w:rsidRPr="00CC28D3">
              <w:rPr>
                <w:rFonts w:ascii="Times New Roman" w:hAnsi="Times New Roman"/>
                <w:sz w:val="24"/>
              </w:rPr>
              <w:t>transakciou</w:t>
            </w:r>
            <w:r w:rsidR="00CC28D3">
              <w:rPr>
                <w:rFonts w:ascii="Times New Roman" w:hAnsi="Times New Roman"/>
                <w:sz w:val="24"/>
              </w:rPr>
              <w:t xml:space="preserve"> s </w:t>
            </w:r>
            <w:r w:rsidRPr="00CC28D3">
              <w:rPr>
                <w:rFonts w:ascii="Times New Roman" w:hAnsi="Times New Roman"/>
                <w:sz w:val="24"/>
              </w:rPr>
              <w:t>dlhou dobou vyrovnania</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272 bode 2 uvedeného nariadenia, ktorá sa nekvalifikuje ako SFT. </w:t>
            </w:r>
          </w:p>
        </w:tc>
      </w:tr>
      <w:tr w:rsidR="00EF74C7" w:rsidRPr="00CC28D3" w14:paraId="1B7CDC53" w14:textId="77777777" w:rsidTr="00822842">
        <w:trPr>
          <w:trHeight w:val="680"/>
        </w:trPr>
        <w:tc>
          <w:tcPr>
            <w:tcW w:w="1384" w:type="dxa"/>
          </w:tcPr>
          <w:p w14:paraId="28360CD0" w14:textId="77777777" w:rsidR="00EF74C7" w:rsidRPr="00CC28D3" w:rsidRDefault="00EF74C7" w:rsidP="00822842">
            <w:pPr>
              <w:pStyle w:val="Applicationdirecte"/>
              <w:spacing w:before="60" w:after="0"/>
            </w:pPr>
            <w:r w:rsidRPr="00CC28D3">
              <w:lastRenderedPageBreak/>
              <w:t>0090 – 0180</w:t>
            </w:r>
          </w:p>
        </w:tc>
        <w:tc>
          <w:tcPr>
            <w:tcW w:w="7655" w:type="dxa"/>
            <w:vAlign w:val="center"/>
          </w:tcPr>
          <w:p w14:paraId="4583975D"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Kolaterál použitý</w:t>
            </w:r>
            <w:r w:rsidR="00CC28D3">
              <w:rPr>
                <w:rStyle w:val="InstructionsTabelleberschrift"/>
                <w:rFonts w:ascii="Times New Roman" w:hAnsi="Times New Roman"/>
                <w:sz w:val="24"/>
              </w:rPr>
              <w:t xml:space="preserve"> v </w:t>
            </w:r>
            <w:r w:rsidRPr="00CC28D3">
              <w:rPr>
                <w:rStyle w:val="InstructionsTabelleberschrift"/>
                <w:rFonts w:ascii="Times New Roman" w:hAnsi="Times New Roman"/>
                <w:sz w:val="24"/>
              </w:rPr>
              <w:t>SFT</w:t>
            </w:r>
          </w:p>
          <w:p w14:paraId="6B5AF52E" w14:textId="356A2E6B" w:rsidR="00EF74C7" w:rsidRPr="00CC28D3" w:rsidRDefault="00EF74C7" w:rsidP="00822842">
            <w:pPr>
              <w:pStyle w:val="numberedparagraph"/>
              <w:numPr>
                <w:ilvl w:val="0"/>
                <w:numId w:val="0"/>
              </w:numPr>
              <w:spacing w:before="60" w:line="240" w:lineRule="auto"/>
              <w:rPr>
                <w:rFonts w:ascii="Times New Roman" w:hAnsi="Times New Roman" w:cs="Times New Roman"/>
                <w:sz w:val="24"/>
              </w:rPr>
            </w:pPr>
            <w:r w:rsidRPr="00CC28D3">
              <w:rPr>
                <w:rFonts w:ascii="Times New Roman" w:hAnsi="Times New Roman"/>
                <w:sz w:val="24"/>
              </w:rPr>
              <w:t>Inštitúcie vykazujú kolaterál (vrátane kolaterálu počiatočnej marže</w:t>
            </w:r>
            <w:r w:rsidR="00CC28D3">
              <w:rPr>
                <w:rFonts w:ascii="Times New Roman" w:hAnsi="Times New Roman"/>
                <w:sz w:val="24"/>
              </w:rPr>
              <w:t xml:space="preserve"> a </w:t>
            </w:r>
            <w:r w:rsidRPr="00CC28D3">
              <w:rPr>
                <w:rFonts w:ascii="Times New Roman" w:hAnsi="Times New Roman"/>
                <w:sz w:val="24"/>
              </w:rPr>
              <w:t>kolaterálu variačnej marže, ako aj kolaterálu, ktorý sa</w:t>
            </w:r>
            <w:r w:rsidR="00CC28D3">
              <w:rPr>
                <w:rFonts w:ascii="Times New Roman" w:hAnsi="Times New Roman"/>
                <w:sz w:val="24"/>
              </w:rPr>
              <w:t xml:space="preserve"> v </w:t>
            </w:r>
            <w:r w:rsidRPr="00CC28D3">
              <w:rPr>
                <w:rFonts w:ascii="Times New Roman" w:hAnsi="Times New Roman"/>
                <w:sz w:val="24"/>
              </w:rPr>
              <w:t>SFT vyskytuje ako cenný papier), ktorý je použitý</w:t>
            </w:r>
            <w:r w:rsidR="00CC28D3">
              <w:rPr>
                <w:rFonts w:ascii="Times New Roman" w:hAnsi="Times New Roman"/>
                <w:sz w:val="24"/>
              </w:rPr>
              <w:t xml:space="preserve"> v </w:t>
            </w:r>
            <w:r w:rsidRPr="00CC28D3">
              <w:rPr>
                <w:rFonts w:ascii="Times New Roman" w:hAnsi="Times New Roman"/>
                <w:sz w:val="24"/>
              </w:rPr>
              <w:t>expozíciách voči CCR súvisiacich</w:t>
            </w:r>
            <w:r w:rsidR="00CC28D3">
              <w:rPr>
                <w:rFonts w:ascii="Times New Roman" w:hAnsi="Times New Roman"/>
                <w:sz w:val="24"/>
              </w:rPr>
              <w:t xml:space="preserve"> s </w:t>
            </w:r>
            <w:r w:rsidRPr="00CC28D3">
              <w:rPr>
                <w:rFonts w:ascii="Times New Roman" w:hAnsi="Times New Roman"/>
                <w:sz w:val="24"/>
              </w:rPr>
              <w:t>akoukoľvek SFT alebo transakciou</w:t>
            </w:r>
            <w:r w:rsidR="00CC28D3">
              <w:rPr>
                <w:rFonts w:ascii="Times New Roman" w:hAnsi="Times New Roman"/>
                <w:sz w:val="24"/>
              </w:rPr>
              <w:t xml:space="preserve"> s </w:t>
            </w:r>
            <w:r w:rsidRPr="00CC28D3">
              <w:rPr>
                <w:rFonts w:ascii="Times New Roman" w:hAnsi="Times New Roman"/>
                <w:sz w:val="24"/>
              </w:rPr>
              <w:t xml:space="preserve">dlhou dobou vyrovnania, ktorá sa nekvalifikuje ako derivát. </w:t>
            </w:r>
          </w:p>
        </w:tc>
      </w:tr>
      <w:tr w:rsidR="00EF74C7" w:rsidRPr="00CC28D3" w14:paraId="0B6009FC" w14:textId="77777777" w:rsidTr="00822842">
        <w:trPr>
          <w:trHeight w:val="416"/>
        </w:trPr>
        <w:tc>
          <w:tcPr>
            <w:tcW w:w="1384" w:type="dxa"/>
          </w:tcPr>
          <w:p w14:paraId="201D2450" w14:textId="77777777" w:rsidR="00EF74C7" w:rsidRPr="00CC28D3" w:rsidRDefault="00EF74C7" w:rsidP="00822842">
            <w:pPr>
              <w:pStyle w:val="Applicationdirecte"/>
              <w:spacing w:before="60" w:after="0"/>
            </w:pPr>
            <w:r w:rsidRPr="00CC28D3">
              <w:t>0010, 0020, 0050, 0060, 0090, 0100, 0140, 0150</w:t>
            </w:r>
          </w:p>
        </w:tc>
        <w:tc>
          <w:tcPr>
            <w:tcW w:w="7655" w:type="dxa"/>
            <w:vAlign w:val="center"/>
          </w:tcPr>
          <w:p w14:paraId="1906C178" w14:textId="77777777" w:rsidR="00EF74C7" w:rsidRP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Oddelený</w:t>
            </w:r>
          </w:p>
          <w:p w14:paraId="3338D91C" w14:textId="604B6A6F" w:rsidR="00EF74C7" w:rsidRPr="00CC28D3" w:rsidRDefault="00EF74C7" w:rsidP="00822842">
            <w:pPr>
              <w:spacing w:before="60"/>
              <w:rPr>
                <w:rStyle w:val="InstructionsTabelleberschrift"/>
                <w:rFonts w:ascii="Times New Roman" w:hAnsi="Times New Roman"/>
                <w:sz w:val="24"/>
              </w:rPr>
            </w:pPr>
            <w:r w:rsidRPr="00CC28D3">
              <w:rPr>
                <w:rFonts w:ascii="Times New Roman" w:hAnsi="Times New Roman"/>
                <w:sz w:val="24"/>
              </w:rPr>
              <w:t xml:space="preserve">Článok 300 bod 1 nariadenia (EÚ) </w:t>
            </w:r>
            <w:r w:rsidR="00CC28D3">
              <w:rPr>
                <w:rFonts w:ascii="Times New Roman" w:hAnsi="Times New Roman"/>
                <w:sz w:val="24"/>
              </w:rPr>
              <w:t>č. </w:t>
            </w:r>
            <w:r w:rsidRPr="00CC28D3">
              <w:rPr>
                <w:rFonts w:ascii="Times New Roman" w:hAnsi="Times New Roman"/>
                <w:sz w:val="24"/>
              </w:rPr>
              <w:t>575/2013</w:t>
            </w:r>
          </w:p>
          <w:p w14:paraId="26EDC9B6" w14:textId="34F9B3CD" w:rsidR="00EF74C7" w:rsidRPr="00CC28D3" w:rsidRDefault="00EF74C7" w:rsidP="00822842">
            <w:pPr>
              <w:spacing w:before="60"/>
              <w:rPr>
                <w:rFonts w:ascii="Times New Roman" w:hAnsi="Times New Roman"/>
                <w:sz w:val="24"/>
              </w:rPr>
            </w:pPr>
            <w:r w:rsidRPr="00CC28D3">
              <w:rPr>
                <w:rFonts w:ascii="Times New Roman" w:hAnsi="Times New Roman"/>
                <w:sz w:val="24"/>
              </w:rPr>
              <w:t>Inštitúcie vykazujú kolaterál, ktorý je držaný spôsobom odolným voči konkurzu</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300 bode 1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v </w:t>
            </w:r>
            <w:r w:rsidRPr="00CC28D3">
              <w:rPr>
                <w:rFonts w:ascii="Times New Roman" w:hAnsi="Times New Roman"/>
                <w:sz w:val="24"/>
              </w:rPr>
              <w:t>ďalšom rozčlenení na kolaterál, ktorý sa vyskytuje vo forme počiatočnej alebo variačnej marže.</w:t>
            </w:r>
          </w:p>
        </w:tc>
      </w:tr>
      <w:tr w:rsidR="00EF74C7" w:rsidRPr="00CC28D3" w14:paraId="72806B64" w14:textId="77777777" w:rsidTr="00822842">
        <w:trPr>
          <w:trHeight w:val="680"/>
        </w:trPr>
        <w:tc>
          <w:tcPr>
            <w:tcW w:w="1384" w:type="dxa"/>
          </w:tcPr>
          <w:p w14:paraId="7E6BCB3B" w14:textId="77777777" w:rsidR="00EF74C7" w:rsidRPr="00CC28D3" w:rsidRDefault="00EF74C7" w:rsidP="00822842">
            <w:pPr>
              <w:pStyle w:val="Applicationdirecte"/>
              <w:spacing w:before="60" w:after="0"/>
            </w:pPr>
            <w:r w:rsidRPr="00CC28D3">
              <w:t xml:space="preserve">0030, 0040, 0070, 0080, 0110, 0120, 0130, 0160, 0170, 0180 </w:t>
            </w:r>
          </w:p>
        </w:tc>
        <w:tc>
          <w:tcPr>
            <w:tcW w:w="7655" w:type="dxa"/>
          </w:tcPr>
          <w:p w14:paraId="4EBC5FBD"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Neoddelený</w:t>
            </w:r>
          </w:p>
          <w:p w14:paraId="7A8B9376" w14:textId="6C77AA24" w:rsidR="00EF74C7" w:rsidRPr="00CC28D3" w:rsidRDefault="00EF74C7" w:rsidP="00822842">
            <w:pPr>
              <w:spacing w:before="60"/>
              <w:rPr>
                <w:rStyle w:val="InstructionsTabelleberschrift"/>
                <w:rFonts w:ascii="Times New Roman" w:hAnsi="Times New Roman"/>
                <w:sz w:val="24"/>
              </w:rPr>
            </w:pPr>
            <w:r w:rsidRPr="00CC28D3">
              <w:rPr>
                <w:rFonts w:ascii="Times New Roman" w:hAnsi="Times New Roman"/>
                <w:sz w:val="24"/>
              </w:rPr>
              <w:t xml:space="preserve">Článok 300 bod 1 nariadenia (EÚ) </w:t>
            </w:r>
            <w:r w:rsidR="00CC28D3">
              <w:rPr>
                <w:rFonts w:ascii="Times New Roman" w:hAnsi="Times New Roman"/>
                <w:sz w:val="24"/>
              </w:rPr>
              <w:t>č. </w:t>
            </w:r>
            <w:r w:rsidRPr="00CC28D3">
              <w:rPr>
                <w:rFonts w:ascii="Times New Roman" w:hAnsi="Times New Roman"/>
                <w:sz w:val="24"/>
              </w:rPr>
              <w:t>575/2013</w:t>
            </w:r>
          </w:p>
          <w:p w14:paraId="57A510C0" w14:textId="039CADF2" w:rsidR="00EF74C7" w:rsidRPr="00CC28D3" w:rsidRDefault="00EF74C7" w:rsidP="00822842">
            <w:pPr>
              <w:rPr>
                <w:rFonts w:ascii="Times New Roman" w:hAnsi="Times New Roman"/>
                <w:sz w:val="24"/>
              </w:rPr>
            </w:pPr>
            <w:r w:rsidRPr="00CC28D3">
              <w:rPr>
                <w:rFonts w:ascii="Times New Roman" w:hAnsi="Times New Roman"/>
                <w:sz w:val="24"/>
              </w:rPr>
              <w:t>Inštitúcie vykazujú kolaterál, ktorý nie je držaný spôsobom odolným voči konkurzu</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300 bode 1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v </w:t>
            </w:r>
            <w:r w:rsidRPr="00CC28D3">
              <w:rPr>
                <w:rFonts w:ascii="Times New Roman" w:hAnsi="Times New Roman"/>
                <w:sz w:val="24"/>
              </w:rPr>
              <w:t>ďalšom rozčlenení na počiatočnú maržu, variačnú maržu</w:t>
            </w:r>
            <w:r w:rsidR="00CC28D3">
              <w:rPr>
                <w:rFonts w:ascii="Times New Roman" w:hAnsi="Times New Roman"/>
                <w:sz w:val="24"/>
              </w:rPr>
              <w:t xml:space="preserve"> a </w:t>
            </w:r>
            <w:r w:rsidRPr="00CC28D3">
              <w:rPr>
                <w:rFonts w:ascii="Times New Roman" w:hAnsi="Times New Roman"/>
                <w:sz w:val="24"/>
              </w:rPr>
              <w:t>cenný papier SFT.</w:t>
            </w:r>
          </w:p>
        </w:tc>
      </w:tr>
      <w:tr w:rsidR="00EF74C7" w:rsidRPr="00CC28D3" w14:paraId="10122572" w14:textId="77777777" w:rsidTr="00822842">
        <w:trPr>
          <w:trHeight w:val="680"/>
        </w:trPr>
        <w:tc>
          <w:tcPr>
            <w:tcW w:w="1384" w:type="dxa"/>
          </w:tcPr>
          <w:p w14:paraId="43A4CCC5" w14:textId="77777777" w:rsidR="00EF74C7" w:rsidRPr="00CC28D3" w:rsidRDefault="00EF74C7" w:rsidP="00822842">
            <w:pPr>
              <w:pStyle w:val="Applicationdirecte"/>
              <w:spacing w:before="60" w:after="0"/>
            </w:pPr>
            <w:r w:rsidRPr="00CC28D3">
              <w:t>0010, 0030, 0050, 0070, 0090, 0110, 0140, 0160</w:t>
            </w:r>
          </w:p>
        </w:tc>
        <w:tc>
          <w:tcPr>
            <w:tcW w:w="7655" w:type="dxa"/>
            <w:vAlign w:val="center"/>
          </w:tcPr>
          <w:p w14:paraId="24507BB5" w14:textId="77777777" w:rsidR="00EF74C7" w:rsidRP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Počiatočná marža</w:t>
            </w:r>
          </w:p>
          <w:p w14:paraId="3EA695F0" w14:textId="54B404DA" w:rsidR="00EF74C7" w:rsidRPr="00CC28D3" w:rsidRDefault="00EF74C7" w:rsidP="00822842">
            <w:pPr>
              <w:spacing w:before="60"/>
              <w:rPr>
                <w:rFonts w:ascii="Times New Roman" w:hAnsi="Times New Roman"/>
                <w:sz w:val="24"/>
              </w:rPr>
            </w:pPr>
            <w:r w:rsidRPr="00CC28D3">
              <w:rPr>
                <w:rFonts w:ascii="Times New Roman" w:hAnsi="Times New Roman"/>
                <w:sz w:val="24"/>
              </w:rPr>
              <w:t xml:space="preserve">Článok 4 ods. 1 bod 140 nariadenia (EÚ) </w:t>
            </w:r>
            <w:r w:rsidR="00CC28D3">
              <w:rPr>
                <w:rFonts w:ascii="Times New Roman" w:hAnsi="Times New Roman"/>
                <w:sz w:val="24"/>
              </w:rPr>
              <w:t>č. </w:t>
            </w:r>
            <w:r w:rsidRPr="00CC28D3">
              <w:rPr>
                <w:rFonts w:ascii="Times New Roman" w:hAnsi="Times New Roman"/>
                <w:sz w:val="24"/>
              </w:rPr>
              <w:t>575/2013</w:t>
            </w:r>
          </w:p>
          <w:p w14:paraId="17D2E118" w14:textId="248BD2CF" w:rsidR="00EF74C7" w:rsidRPr="00CC28D3" w:rsidRDefault="00EF74C7" w:rsidP="00822842">
            <w:pPr>
              <w:spacing w:before="60"/>
              <w:rPr>
                <w:rFonts w:ascii="Times New Roman" w:hAnsi="Times New Roman"/>
                <w:sz w:val="24"/>
              </w:rPr>
            </w:pPr>
            <w:r w:rsidRPr="00CC28D3">
              <w:rPr>
                <w:rFonts w:ascii="Times New Roman" w:hAnsi="Times New Roman"/>
                <w:sz w:val="24"/>
              </w:rPr>
              <w:t>Inštitúcie vykazujú reálne hodnoty kolaterálu prijatého alebo poskytnutého ako počiatočná marža [v zmysle vymedzenia</w:t>
            </w:r>
            <w:r w:rsidR="00CC28D3">
              <w:rPr>
                <w:rFonts w:ascii="Times New Roman" w:hAnsi="Times New Roman"/>
                <w:sz w:val="24"/>
              </w:rPr>
              <w:t xml:space="preserve"> v </w:t>
            </w:r>
            <w:r w:rsidRPr="00CC28D3">
              <w:rPr>
                <w:rFonts w:ascii="Times New Roman" w:hAnsi="Times New Roman"/>
                <w:sz w:val="24"/>
              </w:rPr>
              <w:t xml:space="preserve">článku 4 ods. 1 bode 140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32DE18A2" w14:textId="77777777" w:rsidTr="00822842">
        <w:trPr>
          <w:trHeight w:val="680"/>
        </w:trPr>
        <w:tc>
          <w:tcPr>
            <w:tcW w:w="1384" w:type="dxa"/>
          </w:tcPr>
          <w:p w14:paraId="23334415" w14:textId="77777777" w:rsidR="00EF74C7" w:rsidRPr="00CC28D3" w:rsidRDefault="00EF74C7" w:rsidP="00822842">
            <w:pPr>
              <w:pStyle w:val="Applicationdirecte"/>
              <w:spacing w:before="60" w:after="0"/>
            </w:pPr>
            <w:r w:rsidRPr="00CC28D3">
              <w:t>0020, 0040, 0060, 0080, 0100, 0120, 0150, 0170</w:t>
            </w:r>
          </w:p>
        </w:tc>
        <w:tc>
          <w:tcPr>
            <w:tcW w:w="7655" w:type="dxa"/>
            <w:vAlign w:val="center"/>
          </w:tcPr>
          <w:p w14:paraId="00C79FEA" w14:textId="77777777" w:rsidR="00EF74C7" w:rsidRP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Variačná marža</w:t>
            </w:r>
          </w:p>
          <w:p w14:paraId="054E9606" w14:textId="77777777" w:rsidR="00EF74C7" w:rsidRPr="00CC28D3" w:rsidRDefault="00EF74C7" w:rsidP="00822842">
            <w:pPr>
              <w:spacing w:before="60"/>
              <w:rPr>
                <w:rFonts w:ascii="Times New Roman" w:eastAsia="Calibri" w:hAnsi="Times New Roman"/>
                <w:sz w:val="24"/>
              </w:rPr>
            </w:pPr>
            <w:r w:rsidRPr="00CC28D3">
              <w:rPr>
                <w:rFonts w:ascii="Times New Roman" w:hAnsi="Times New Roman"/>
                <w:sz w:val="24"/>
              </w:rPr>
              <w:t>Inštitúcie vykazujú reálne hodnoty kolaterálu prijatého alebo poskytnutého ako variačná marža.</w:t>
            </w:r>
          </w:p>
        </w:tc>
      </w:tr>
      <w:tr w:rsidR="00EF74C7" w:rsidRPr="00CC28D3" w14:paraId="1FB544F3" w14:textId="77777777" w:rsidTr="00822842">
        <w:trPr>
          <w:trHeight w:val="680"/>
        </w:trPr>
        <w:tc>
          <w:tcPr>
            <w:tcW w:w="1384" w:type="dxa"/>
          </w:tcPr>
          <w:p w14:paraId="0D63C386" w14:textId="77777777" w:rsidR="00EF74C7" w:rsidRPr="00CC28D3" w:rsidRDefault="00EF74C7" w:rsidP="00822842">
            <w:pPr>
              <w:pStyle w:val="Applicationdirecte"/>
              <w:spacing w:before="60" w:after="0"/>
            </w:pPr>
            <w:r w:rsidRPr="00CC28D3">
              <w:t>0130, 0180</w:t>
            </w:r>
          </w:p>
        </w:tc>
        <w:tc>
          <w:tcPr>
            <w:tcW w:w="7655" w:type="dxa"/>
            <w:vAlign w:val="center"/>
          </w:tcPr>
          <w:p w14:paraId="5DA610A4" w14:textId="77777777" w:rsidR="00CC28D3" w:rsidRDefault="00EF74C7" w:rsidP="00822842">
            <w:pPr>
              <w:spacing w:before="60"/>
              <w:rPr>
                <w:rStyle w:val="InstructionsTabelleberschrift"/>
                <w:rFonts w:ascii="Times New Roman" w:hAnsi="Times New Roman"/>
                <w:sz w:val="24"/>
              </w:rPr>
            </w:pPr>
            <w:r w:rsidRPr="00CC28D3">
              <w:rPr>
                <w:rStyle w:val="InstructionsTabelleberschrift"/>
                <w:rFonts w:ascii="Times New Roman" w:hAnsi="Times New Roman"/>
                <w:sz w:val="24"/>
              </w:rPr>
              <w:t>Cenný papier SFT</w:t>
            </w:r>
          </w:p>
          <w:p w14:paraId="79AA9223" w14:textId="2BB1C382" w:rsidR="00EF74C7" w:rsidRPr="00CC28D3" w:rsidRDefault="00EF74C7" w:rsidP="00822842">
            <w:pPr>
              <w:spacing w:before="60"/>
              <w:rPr>
                <w:rFonts w:ascii="Times New Roman" w:eastAsia="Calibri" w:hAnsi="Times New Roman"/>
                <w:i/>
                <w:sz w:val="24"/>
              </w:rPr>
            </w:pPr>
            <w:r w:rsidRPr="00CC28D3">
              <w:rPr>
                <w:rFonts w:ascii="Times New Roman" w:hAnsi="Times New Roman"/>
                <w:sz w:val="24"/>
              </w:rPr>
              <w:t>Inštitúcie vykazujú reálne hodnoty kolaterálu, ktorý sa vyskytuje ako cenný papier</w:t>
            </w:r>
            <w:r w:rsidR="00CC28D3">
              <w:rPr>
                <w:rFonts w:ascii="Times New Roman" w:hAnsi="Times New Roman"/>
                <w:sz w:val="24"/>
              </w:rPr>
              <w:t xml:space="preserve"> v </w:t>
            </w:r>
            <w:r w:rsidRPr="00CC28D3">
              <w:rPr>
                <w:rFonts w:ascii="Times New Roman" w:hAnsi="Times New Roman"/>
                <w:sz w:val="24"/>
              </w:rPr>
              <w:t>SFT (napr.</w:t>
            </w:r>
            <w:r w:rsidR="00CC28D3">
              <w:rPr>
                <w:rFonts w:ascii="Times New Roman" w:hAnsi="Times New Roman"/>
                <w:sz w:val="24"/>
              </w:rPr>
              <w:t xml:space="preserve"> v </w:t>
            </w:r>
            <w:r w:rsidRPr="00CC28D3">
              <w:rPr>
                <w:rFonts w:ascii="Times New Roman" w:hAnsi="Times New Roman"/>
                <w:sz w:val="24"/>
              </w:rPr>
              <w:t>stĺpci 0130 časť SFT týkajúcu sa cenných papierov, ktorá bola prijatá, resp.</w:t>
            </w:r>
            <w:r w:rsidR="00CC28D3">
              <w:rPr>
                <w:rFonts w:ascii="Times New Roman" w:hAnsi="Times New Roman"/>
                <w:sz w:val="24"/>
              </w:rPr>
              <w:t xml:space="preserve"> v </w:t>
            </w:r>
            <w:r w:rsidRPr="00CC28D3">
              <w:rPr>
                <w:rFonts w:ascii="Times New Roman" w:hAnsi="Times New Roman"/>
                <w:sz w:val="24"/>
              </w:rPr>
              <w:t>stĺpci 0180 časť SFT týkajúcu sa cenných papierov, ktorá bola poskytnutá).</w:t>
            </w:r>
          </w:p>
        </w:tc>
      </w:tr>
    </w:tbl>
    <w:p w14:paraId="0822D80D" w14:textId="77777777" w:rsidR="00EF74C7" w:rsidRPr="00CC28D3"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61207939" w14:textId="77777777" w:rsidTr="00822842">
        <w:trPr>
          <w:trHeight w:val="238"/>
        </w:trPr>
        <w:tc>
          <w:tcPr>
            <w:tcW w:w="9039" w:type="dxa"/>
            <w:gridSpan w:val="2"/>
            <w:shd w:val="clear" w:color="auto" w:fill="D9D9D9" w:themeFill="background1" w:themeFillShade="D9"/>
          </w:tcPr>
          <w:p w14:paraId="3BC71FEC" w14:textId="77777777" w:rsidR="00EF74C7" w:rsidRPr="00CC28D3" w:rsidRDefault="00EF74C7" w:rsidP="00CC28D3">
            <w:pPr>
              <w:keepNext/>
              <w:keepLines/>
              <w:autoSpaceDE w:val="0"/>
              <w:autoSpaceDN w:val="0"/>
              <w:adjustRightInd w:val="0"/>
              <w:rPr>
                <w:rFonts w:ascii="Times New Roman" w:hAnsi="Times New Roman"/>
                <w:sz w:val="24"/>
              </w:rPr>
            </w:pPr>
            <w:r w:rsidRPr="00CC28D3">
              <w:rPr>
                <w:rFonts w:ascii="Times New Roman" w:hAnsi="Times New Roman"/>
                <w:b/>
                <w:sz w:val="24"/>
              </w:rPr>
              <w:lastRenderedPageBreak/>
              <w:t xml:space="preserve">Riadky </w:t>
            </w:r>
          </w:p>
        </w:tc>
      </w:tr>
      <w:tr w:rsidR="00EF74C7" w:rsidRPr="00CC28D3"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CC28D3" w:rsidRDefault="00EF74C7" w:rsidP="00CC28D3">
            <w:pPr>
              <w:keepNext/>
              <w:keepLines/>
              <w:autoSpaceDE w:val="0"/>
              <w:autoSpaceDN w:val="0"/>
              <w:adjustRightInd w:val="0"/>
              <w:rPr>
                <w:rStyle w:val="InstructionsTabelleberschrift"/>
                <w:rFonts w:ascii="Times New Roman" w:hAnsi="Times New Roman"/>
                <w:sz w:val="24"/>
              </w:rPr>
            </w:pPr>
            <w:r w:rsidRPr="00CC28D3">
              <w:rPr>
                <w:rStyle w:val="InstructionsTabelleberschrift"/>
                <w:rFonts w:ascii="Times New Roman" w:hAnsi="Times New Roman"/>
                <w:sz w:val="24"/>
              </w:rPr>
              <w:t>Druh kolaterálu</w:t>
            </w:r>
          </w:p>
          <w:p w14:paraId="4B5DD4D2" w14:textId="77777777" w:rsidR="00EF74C7" w:rsidRPr="00CC28D3" w:rsidRDefault="00EF74C7" w:rsidP="00CC28D3">
            <w:pPr>
              <w:keepNext/>
              <w:keepLines/>
              <w:autoSpaceDE w:val="0"/>
              <w:autoSpaceDN w:val="0"/>
              <w:adjustRightInd w:val="0"/>
              <w:rPr>
                <w:rFonts w:ascii="Times New Roman" w:hAnsi="Times New Roman"/>
                <w:sz w:val="24"/>
              </w:rPr>
            </w:pPr>
            <w:r w:rsidRPr="00CC28D3">
              <w:rPr>
                <w:rFonts w:ascii="Times New Roman" w:hAnsi="Times New Roman"/>
                <w:sz w:val="24"/>
              </w:rPr>
              <w:t>Rozčlenenie podľa rôznych druhov kolaterálu</w:t>
            </w:r>
          </w:p>
        </w:tc>
      </w:tr>
    </w:tbl>
    <w:p w14:paraId="2E2AAEC8" w14:textId="77777777" w:rsidR="00EF74C7" w:rsidRPr="00CC28D3" w:rsidRDefault="00EF74C7" w:rsidP="00EF74C7">
      <w:pPr>
        <w:pStyle w:val="Titlelevel2"/>
        <w:spacing w:before="120" w:after="120"/>
        <w:rPr>
          <w:rFonts w:ascii="Times New Roman" w:hAnsi="Times New Roman" w:cs="Times New Roman"/>
          <w:color w:val="auto"/>
          <w:sz w:val="24"/>
        </w:rPr>
      </w:pPr>
    </w:p>
    <w:p w14:paraId="367FEDD2" w14:textId="77777777" w:rsidR="00EF74C7" w:rsidRPr="00CC28D3"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sidRPr="00CC28D3">
        <w:rPr>
          <w:rFonts w:ascii="Times New Roman" w:hAnsi="Times New Roman"/>
          <w:sz w:val="24"/>
        </w:rPr>
        <w:t>C 34.09 – Expozície kreditných derivátov</w:t>
      </w:r>
      <w:bookmarkEnd w:id="60"/>
      <w:bookmarkEnd w:id="61"/>
    </w:p>
    <w:p w14:paraId="64D36FD9"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sidRPr="00CC28D3">
        <w:rPr>
          <w:rFonts w:ascii="Times New Roman" w:hAnsi="Times New Roman"/>
          <w:sz w:val="24"/>
        </w:rPr>
        <w:t>Pokyny týkajúce sa konkrétnych pozícií</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CC28D3" w:rsidRDefault="00EF74C7" w:rsidP="00822842">
            <w:pPr>
              <w:autoSpaceDE w:val="0"/>
              <w:autoSpaceDN w:val="0"/>
              <w:adjustRightInd w:val="0"/>
              <w:rPr>
                <w:rFonts w:ascii="Times New Roman" w:hAnsi="Times New Roman"/>
                <w:b/>
                <w:sz w:val="24"/>
              </w:rPr>
            </w:pPr>
            <w:r w:rsidRPr="00CC28D3">
              <w:rPr>
                <w:rFonts w:ascii="Times New Roman" w:hAnsi="Times New Roman"/>
                <w:b/>
                <w:sz w:val="24"/>
              </w:rPr>
              <w:t xml:space="preserve">Stĺpce </w:t>
            </w:r>
          </w:p>
        </w:tc>
      </w:tr>
      <w:tr w:rsidR="00EF74C7" w:rsidRPr="00CC28D3"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sz w:val="24"/>
              </w:rPr>
              <w:t>0010 –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CC28D3" w:rsidRDefault="00EF74C7" w:rsidP="00822842">
            <w:pPr>
              <w:autoSpaceDE w:val="0"/>
              <w:autoSpaceDN w:val="0"/>
              <w:adjustRightInd w:val="0"/>
              <w:rPr>
                <w:rStyle w:val="InstructionsTabelleberschrift"/>
                <w:rFonts w:ascii="Times New Roman" w:hAnsi="Times New Roman"/>
                <w:sz w:val="24"/>
              </w:rPr>
            </w:pPr>
            <w:r w:rsidRPr="00CC28D3">
              <w:rPr>
                <w:rStyle w:val="InstructionsTabelleberschrift"/>
                <w:rFonts w:ascii="Times New Roman" w:hAnsi="Times New Roman"/>
                <w:sz w:val="24"/>
              </w:rPr>
              <w:t>ZABEZPEČENIE KREDITNÝCH DERIVÁTOV</w:t>
            </w:r>
          </w:p>
          <w:p w14:paraId="7A5AD5A8" w14:textId="77777777" w:rsidR="00EF74C7" w:rsidRPr="00CC28D3" w:rsidRDefault="00EF74C7" w:rsidP="00822842">
            <w:pPr>
              <w:autoSpaceDE w:val="0"/>
              <w:autoSpaceDN w:val="0"/>
              <w:adjustRightInd w:val="0"/>
              <w:spacing w:before="60"/>
              <w:rPr>
                <w:rFonts w:ascii="Times New Roman" w:hAnsi="Times New Roman"/>
                <w:b/>
                <w:sz w:val="24"/>
              </w:rPr>
            </w:pPr>
            <w:r w:rsidRPr="00CC28D3">
              <w:rPr>
                <w:rFonts w:ascii="Times New Roman" w:hAnsi="Times New Roman"/>
                <w:sz w:val="24"/>
              </w:rPr>
              <w:t>Kúpené alebo predané zabezpečenie kreditných derivátov</w:t>
            </w:r>
          </w:p>
        </w:tc>
      </w:tr>
      <w:tr w:rsidR="00EF74C7" w:rsidRPr="00CC28D3"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D94F3E" w14:textId="77777777" w:rsidR="00CC28D3" w:rsidRDefault="00EF74C7" w:rsidP="00822842">
            <w:pPr>
              <w:autoSpaceDE w:val="0"/>
              <w:autoSpaceDN w:val="0"/>
              <w:adjustRightInd w:val="0"/>
              <w:rPr>
                <w:rStyle w:val="InstructionsTabelleberschrift"/>
                <w:rFonts w:ascii="Times New Roman" w:hAnsi="Times New Roman"/>
                <w:sz w:val="24"/>
              </w:rPr>
            </w:pPr>
            <w:r w:rsidRPr="00CC28D3">
              <w:rPr>
                <w:rStyle w:val="InstructionsTabelleberschrift"/>
                <w:rFonts w:ascii="Times New Roman" w:hAnsi="Times New Roman"/>
                <w:sz w:val="24"/>
              </w:rPr>
              <w:t>POMYSELNÉ HODNOTY</w:t>
            </w:r>
          </w:p>
          <w:p w14:paraId="10378DBE" w14:textId="46D9492E" w:rsidR="00EF74C7" w:rsidRPr="00CC28D3" w:rsidRDefault="00EF74C7" w:rsidP="00822842">
            <w:pPr>
              <w:autoSpaceDE w:val="0"/>
              <w:autoSpaceDN w:val="0"/>
              <w:adjustRightInd w:val="0"/>
              <w:spacing w:before="60"/>
              <w:rPr>
                <w:rFonts w:ascii="Times New Roman" w:hAnsi="Times New Roman"/>
                <w:i/>
                <w:sz w:val="24"/>
              </w:rPr>
            </w:pPr>
            <w:r w:rsidRPr="00CC28D3">
              <w:rPr>
                <w:rFonts w:ascii="Times New Roman" w:hAnsi="Times New Roman"/>
                <w:sz w:val="24"/>
              </w:rPr>
              <w:t>Súčet pomyselných hodnôt derivátov pred akýmkoľvek vzájomným započítavaním,</w:t>
            </w:r>
            <w:r w:rsidR="00CC28D3">
              <w:rPr>
                <w:rFonts w:ascii="Times New Roman" w:hAnsi="Times New Roman"/>
                <w:sz w:val="24"/>
              </w:rPr>
              <w:t xml:space="preserve"> v </w:t>
            </w:r>
            <w:r w:rsidRPr="00CC28D3">
              <w:rPr>
                <w:rFonts w:ascii="Times New Roman" w:hAnsi="Times New Roman"/>
                <w:sz w:val="24"/>
              </w:rPr>
              <w:t>rozčlenení podľa druhu produktu</w:t>
            </w:r>
          </w:p>
        </w:tc>
      </w:tr>
      <w:tr w:rsidR="00EF74C7" w:rsidRPr="00CC28D3"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CC28D3" w:rsidRDefault="00EF74C7" w:rsidP="00822842">
            <w:pPr>
              <w:autoSpaceDE w:val="0"/>
              <w:autoSpaceDN w:val="0"/>
              <w:adjustRightInd w:val="0"/>
              <w:spacing w:before="60"/>
              <w:rPr>
                <w:rStyle w:val="InstructionsTabelleberschrift"/>
                <w:rFonts w:ascii="Times New Roman" w:hAnsi="Times New Roman"/>
                <w:sz w:val="24"/>
              </w:rPr>
            </w:pPr>
            <w:r w:rsidRPr="00CC28D3">
              <w:rPr>
                <w:rStyle w:val="InstructionsTabelleberschrift"/>
                <w:rFonts w:ascii="Times New Roman" w:hAnsi="Times New Roman"/>
                <w:sz w:val="24"/>
              </w:rPr>
              <w:t>REÁLNE HODNOTY</w:t>
            </w:r>
          </w:p>
          <w:p w14:paraId="3C50834E" w14:textId="4530FB56" w:rsidR="00EF74C7" w:rsidRPr="00CC28D3" w:rsidRDefault="00EF74C7" w:rsidP="00822842">
            <w:pPr>
              <w:autoSpaceDE w:val="0"/>
              <w:autoSpaceDN w:val="0"/>
              <w:adjustRightInd w:val="0"/>
              <w:spacing w:before="60"/>
              <w:rPr>
                <w:rFonts w:ascii="Times New Roman" w:hAnsi="Times New Roman"/>
                <w:i/>
                <w:sz w:val="24"/>
              </w:rPr>
            </w:pPr>
            <w:r w:rsidRPr="00CC28D3">
              <w:rPr>
                <w:rFonts w:ascii="Times New Roman" w:hAnsi="Times New Roman"/>
                <w:sz w:val="24"/>
              </w:rPr>
              <w:t>Súčet reálnych hodnôt</w:t>
            </w:r>
            <w:r w:rsidR="00CC28D3">
              <w:rPr>
                <w:rFonts w:ascii="Times New Roman" w:hAnsi="Times New Roman"/>
                <w:sz w:val="24"/>
              </w:rPr>
              <w:t xml:space="preserve"> v </w:t>
            </w:r>
            <w:r w:rsidRPr="00CC28D3">
              <w:rPr>
                <w:rFonts w:ascii="Times New Roman" w:hAnsi="Times New Roman"/>
                <w:sz w:val="24"/>
              </w:rPr>
              <w:t>rozčlenení podľa kúpeného</w:t>
            </w:r>
            <w:r w:rsidR="00CC28D3">
              <w:rPr>
                <w:rFonts w:ascii="Times New Roman" w:hAnsi="Times New Roman"/>
                <w:sz w:val="24"/>
              </w:rPr>
              <w:t xml:space="preserve"> a </w:t>
            </w:r>
            <w:r w:rsidRPr="00CC28D3">
              <w:rPr>
                <w:rFonts w:ascii="Times New Roman" w:hAnsi="Times New Roman"/>
                <w:sz w:val="24"/>
              </w:rPr>
              <w:t xml:space="preserve">predaného zabezpečenia </w:t>
            </w:r>
          </w:p>
        </w:tc>
      </w:tr>
    </w:tbl>
    <w:p w14:paraId="1E39E61C" w14:textId="77777777" w:rsidR="00EF74C7" w:rsidRPr="00CC28D3"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0B4D4225" w14:textId="77777777" w:rsidTr="00822842">
        <w:trPr>
          <w:trHeight w:val="238"/>
        </w:trPr>
        <w:tc>
          <w:tcPr>
            <w:tcW w:w="9039" w:type="dxa"/>
            <w:gridSpan w:val="2"/>
            <w:shd w:val="clear" w:color="auto" w:fill="D9D9D9" w:themeFill="background1" w:themeFillShade="D9"/>
          </w:tcPr>
          <w:p w14:paraId="2E3D936B"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b/>
                <w:sz w:val="24"/>
              </w:rPr>
              <w:t xml:space="preserve">Riadky </w:t>
            </w:r>
          </w:p>
        </w:tc>
      </w:tr>
      <w:tr w:rsidR="00EF74C7" w:rsidRPr="00CC28D3"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CC28D3" w:rsidRDefault="00EF74C7" w:rsidP="00822842">
            <w:pPr>
              <w:autoSpaceDE w:val="0"/>
              <w:autoSpaceDN w:val="0"/>
              <w:adjustRightInd w:val="0"/>
              <w:rPr>
                <w:rStyle w:val="InstructionsTabelleberschrift"/>
                <w:rFonts w:ascii="Times New Roman" w:hAnsi="Times New Roman"/>
                <w:sz w:val="24"/>
              </w:rPr>
            </w:pPr>
            <w:r w:rsidRPr="00CC28D3">
              <w:rPr>
                <w:rStyle w:val="InstructionsTabelleberschrift"/>
                <w:rFonts w:ascii="Times New Roman" w:hAnsi="Times New Roman"/>
                <w:sz w:val="24"/>
              </w:rPr>
              <w:t>Druh produktu</w:t>
            </w:r>
          </w:p>
          <w:p w14:paraId="6C2C37AC"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sz w:val="24"/>
              </w:rPr>
              <w:t>Rozčlenenie druhov produktov kreditných derivátov</w:t>
            </w:r>
          </w:p>
        </w:tc>
      </w:tr>
      <w:tr w:rsidR="00EF74C7" w:rsidRPr="00CC28D3"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CC28D3" w:rsidRDefault="00EF74C7" w:rsidP="00822842">
            <w:pPr>
              <w:autoSpaceDE w:val="0"/>
              <w:autoSpaceDN w:val="0"/>
              <w:adjustRightInd w:val="0"/>
              <w:rPr>
                <w:rStyle w:val="InstructionsTabelleberschrift"/>
                <w:rFonts w:ascii="Times New Roman" w:hAnsi="Times New Roman"/>
                <w:sz w:val="24"/>
              </w:rPr>
            </w:pPr>
            <w:r w:rsidRPr="00CC28D3">
              <w:rPr>
                <w:rStyle w:val="InstructionsTabelleberschrift"/>
                <w:rFonts w:ascii="Times New Roman" w:hAnsi="Times New Roman"/>
                <w:sz w:val="24"/>
              </w:rPr>
              <w:t>Spolu</w:t>
            </w:r>
          </w:p>
          <w:p w14:paraId="6166DDC1" w14:textId="77777777" w:rsidR="00EF74C7" w:rsidRPr="00CC28D3" w:rsidRDefault="00EF74C7" w:rsidP="00822842">
            <w:pPr>
              <w:autoSpaceDE w:val="0"/>
              <w:autoSpaceDN w:val="0"/>
              <w:adjustRightInd w:val="0"/>
              <w:rPr>
                <w:rStyle w:val="InstructionsTabelleberschrift"/>
                <w:rFonts w:ascii="Times New Roman" w:hAnsi="Times New Roman"/>
                <w:b w:val="0"/>
                <w:sz w:val="24"/>
                <w:u w:val="none"/>
              </w:rPr>
            </w:pPr>
            <w:r w:rsidRPr="00CC28D3">
              <w:rPr>
                <w:rStyle w:val="InstructionsTabelleberschrift"/>
                <w:rFonts w:ascii="Times New Roman" w:hAnsi="Times New Roman"/>
                <w:b w:val="0"/>
                <w:sz w:val="24"/>
                <w:u w:val="none"/>
              </w:rPr>
              <w:t>Súčet všetkých druhov produktov</w:t>
            </w:r>
          </w:p>
        </w:tc>
      </w:tr>
      <w:tr w:rsidR="00EF74C7" w:rsidRPr="00CC28D3"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CC28D3" w:rsidRDefault="00EF74C7" w:rsidP="00822842">
            <w:pPr>
              <w:autoSpaceDE w:val="0"/>
              <w:autoSpaceDN w:val="0"/>
              <w:adjustRightInd w:val="0"/>
              <w:rPr>
                <w:rStyle w:val="InstructionsTabelleberschrift"/>
                <w:rFonts w:ascii="Times New Roman" w:hAnsi="Times New Roman"/>
                <w:sz w:val="24"/>
              </w:rPr>
            </w:pPr>
            <w:r w:rsidRPr="00CC28D3">
              <w:rPr>
                <w:rStyle w:val="InstructionsTabelleberschrift"/>
                <w:rFonts w:ascii="Times New Roman" w:hAnsi="Times New Roman"/>
                <w:sz w:val="24"/>
              </w:rPr>
              <w:t>Reálne hodnoty</w:t>
            </w:r>
          </w:p>
          <w:p w14:paraId="69350AE6" w14:textId="083B87CB" w:rsidR="00EF74C7" w:rsidRPr="00CC28D3" w:rsidRDefault="00EF74C7" w:rsidP="00822842">
            <w:pPr>
              <w:autoSpaceDE w:val="0"/>
              <w:autoSpaceDN w:val="0"/>
              <w:adjustRightInd w:val="0"/>
              <w:rPr>
                <w:rFonts w:ascii="Times New Roman" w:hAnsi="Times New Roman"/>
                <w:bCs/>
                <w:sz w:val="24"/>
              </w:rPr>
            </w:pPr>
            <w:r w:rsidRPr="00CC28D3">
              <w:rPr>
                <w:rFonts w:ascii="Times New Roman" w:hAnsi="Times New Roman"/>
                <w:sz w:val="24"/>
              </w:rPr>
              <w:t>Reálne hodnoty rozčlenené podľa druhu produktu, ako aj aktív (kladné reálne hodnoty)</w:t>
            </w:r>
            <w:r w:rsidR="00CC28D3">
              <w:rPr>
                <w:rFonts w:ascii="Times New Roman" w:hAnsi="Times New Roman"/>
                <w:sz w:val="24"/>
              </w:rPr>
              <w:t xml:space="preserve"> a </w:t>
            </w:r>
            <w:r w:rsidRPr="00CC28D3">
              <w:rPr>
                <w:rFonts w:ascii="Times New Roman" w:hAnsi="Times New Roman"/>
                <w:sz w:val="24"/>
              </w:rPr>
              <w:t>záväzkov (záporné reálne hodnoty)</w:t>
            </w:r>
          </w:p>
        </w:tc>
      </w:tr>
    </w:tbl>
    <w:p w14:paraId="3EEB26BA" w14:textId="77777777" w:rsidR="00EF74C7" w:rsidRPr="00CC28D3"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CC28D3"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sidRPr="00CC28D3">
        <w:rPr>
          <w:rFonts w:ascii="Times New Roman" w:hAnsi="Times New Roman"/>
          <w:sz w:val="24"/>
        </w:rPr>
        <w:t>C 34.10 – Expozície voči centrálnym protistranám</w:t>
      </w:r>
      <w:bookmarkEnd w:id="64"/>
      <w:bookmarkEnd w:id="65"/>
    </w:p>
    <w:p w14:paraId="61966719"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sidRPr="00CC28D3">
        <w:rPr>
          <w:rFonts w:ascii="Times New Roman" w:hAnsi="Times New Roman"/>
          <w:sz w:val="24"/>
        </w:rPr>
        <w:t>Všeobecné poznámky</w:t>
      </w:r>
      <w:bookmarkEnd w:id="66"/>
      <w:bookmarkEnd w:id="67"/>
    </w:p>
    <w:p w14:paraId="65F19A3D" w14:textId="1407778B" w:rsid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132</w:t>
      </w:r>
      <w:r w:rsidRPr="00CC28D3">
        <w:fldChar w:fldCharType="end"/>
      </w:r>
      <w:r w:rsidRPr="00CC28D3">
        <w:t>. Inštitúcie vykazujú informácie</w:t>
      </w:r>
      <w:r w:rsidR="00CC28D3">
        <w:t xml:space="preserve"> o </w:t>
      </w:r>
      <w:r w:rsidRPr="00CC28D3">
        <w:t>expozíciách voči centrálnym protistranám, t. j. voči zmluvám</w:t>
      </w:r>
      <w:r w:rsidR="00CC28D3">
        <w:t xml:space="preserve"> a </w:t>
      </w:r>
      <w:r w:rsidRPr="00CC28D3">
        <w:t>transakciám uvedeným</w:t>
      </w:r>
      <w:r w:rsidR="00CC28D3">
        <w:t xml:space="preserve"> v </w:t>
      </w:r>
      <w:r w:rsidRPr="00CC28D3">
        <w:t xml:space="preserve">článku 301 ods. 1 nariadenia (EÚ) </w:t>
      </w:r>
      <w:r w:rsidR="00CC28D3">
        <w:t>č. </w:t>
      </w:r>
      <w:r w:rsidRPr="00CC28D3">
        <w:t>575/2013, pokiaľ sú nesplatené voči CCP,</w:t>
      </w:r>
      <w:r w:rsidR="00CC28D3">
        <w:t xml:space="preserve"> a o </w:t>
      </w:r>
      <w:r w:rsidRPr="00CC28D3">
        <w:t>expozíciách</w:t>
      </w:r>
      <w:r w:rsidR="00CC28D3">
        <w:t xml:space="preserve"> z </w:t>
      </w:r>
      <w:r w:rsidRPr="00CC28D3">
        <w:t>transakcií súvisiacich</w:t>
      </w:r>
      <w:r w:rsidR="00CC28D3">
        <w:t xml:space="preserve"> s </w:t>
      </w:r>
      <w:r w:rsidRPr="00CC28D3">
        <w:t>CCP</w:t>
      </w:r>
      <w:r w:rsidR="00CC28D3">
        <w:t xml:space="preserve"> v </w:t>
      </w:r>
      <w:r w:rsidRPr="00CC28D3">
        <w:t>súlade</w:t>
      </w:r>
      <w:r w:rsidR="00CC28D3">
        <w:t xml:space="preserve"> s </w:t>
      </w:r>
      <w:r w:rsidRPr="00CC28D3">
        <w:t xml:space="preserve">článkom 300 bodom 2 uvedeného nariadenia, pri ktorých sa </w:t>
      </w:r>
      <w:r w:rsidRPr="00CC28D3">
        <w:lastRenderedPageBreak/>
        <w:t>požiadavky na vlastné zdroje vypočítavajú</w:t>
      </w:r>
      <w:r w:rsidR="00CC28D3">
        <w:t xml:space="preserve"> v </w:t>
      </w:r>
      <w:r w:rsidRPr="00CC28D3">
        <w:t>súlade</w:t>
      </w:r>
      <w:r w:rsidR="00CC28D3">
        <w:t xml:space="preserve"> s </w:t>
      </w:r>
      <w:r w:rsidRPr="00CC28D3">
        <w:t>treťou časťou hlavou II kapitolou 6 oddielom 9 uvedeného nariadenia</w:t>
      </w:r>
      <w:r w:rsidR="00CC28D3">
        <w:t>.</w:t>
      </w:r>
    </w:p>
    <w:p w14:paraId="6A78D46D" w14:textId="0A8686E4" w:rsidR="00EF74C7" w:rsidRPr="00CC28D3"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sidRPr="00CC28D3">
        <w:rPr>
          <w:rFonts w:ascii="Times New Roman" w:hAnsi="Times New Roman"/>
          <w:sz w:val="24"/>
        </w:rPr>
        <w:t>Pokyny týkajúce sa konkrétnych pozícií</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CC28D3" w:rsidRDefault="00EF74C7" w:rsidP="00822842">
            <w:pPr>
              <w:autoSpaceDE w:val="0"/>
              <w:autoSpaceDN w:val="0"/>
              <w:adjustRightInd w:val="0"/>
              <w:rPr>
                <w:rFonts w:ascii="Times New Roman" w:hAnsi="Times New Roman"/>
                <w:b/>
                <w:sz w:val="24"/>
              </w:rPr>
            </w:pPr>
            <w:r w:rsidRPr="00CC28D3">
              <w:rPr>
                <w:rFonts w:ascii="Times New Roman" w:hAnsi="Times New Roman"/>
                <w:b/>
                <w:sz w:val="24"/>
              </w:rPr>
              <w:t xml:space="preserve">Stĺpce </w:t>
            </w:r>
          </w:p>
        </w:tc>
      </w:tr>
      <w:tr w:rsidR="00EF74C7" w:rsidRPr="00CC28D3" w14:paraId="124AAA9B" w14:textId="77777777" w:rsidTr="00822842">
        <w:trPr>
          <w:trHeight w:val="680"/>
        </w:trPr>
        <w:tc>
          <w:tcPr>
            <w:tcW w:w="1384" w:type="dxa"/>
          </w:tcPr>
          <w:p w14:paraId="011E66AA" w14:textId="77777777" w:rsidR="00EF74C7" w:rsidRPr="00CC28D3" w:rsidRDefault="00EF74C7" w:rsidP="00822842">
            <w:pPr>
              <w:pStyle w:val="Applicationdirecte"/>
              <w:spacing w:before="0" w:after="0"/>
            </w:pPr>
            <w:r w:rsidRPr="00CC28D3">
              <w:t>0010</w:t>
            </w:r>
          </w:p>
        </w:tc>
        <w:tc>
          <w:tcPr>
            <w:tcW w:w="7655" w:type="dxa"/>
            <w:vAlign w:val="center"/>
          </w:tcPr>
          <w:p w14:paraId="19653687" w14:textId="77777777" w:rsid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HODNOTA EXPOZÍCIE</w:t>
            </w:r>
          </w:p>
          <w:p w14:paraId="0EB17FC4" w14:textId="798E54AE" w:rsidR="00EF74C7" w:rsidRPr="00CC28D3" w:rsidRDefault="00EF74C7" w:rsidP="00822842">
            <w:pPr>
              <w:keepNext/>
              <w:spacing w:before="60"/>
              <w:rPr>
                <w:rFonts w:ascii="Times New Roman" w:hAnsi="Times New Roman"/>
                <w:sz w:val="24"/>
              </w:rPr>
            </w:pPr>
            <w:r w:rsidRPr="00CC28D3">
              <w:rPr>
                <w:rFonts w:ascii="Times New Roman" w:hAnsi="Times New Roman"/>
                <w:sz w:val="24"/>
              </w:rPr>
              <w:t>Hodnota expozície pri transakciách</w:t>
            </w:r>
            <w:r w:rsidR="00CC28D3">
              <w:rPr>
                <w:rFonts w:ascii="Times New Roman" w:hAnsi="Times New Roman"/>
                <w:sz w:val="24"/>
              </w:rPr>
              <w:t xml:space="preserve"> v </w:t>
            </w:r>
            <w:r w:rsidRPr="00CC28D3">
              <w:rPr>
                <w:rFonts w:ascii="Times New Roman" w:hAnsi="Times New Roman"/>
                <w:sz w:val="24"/>
              </w:rPr>
              <w:t xml:space="preserve">rozsahu pôsobnosti tretej časti hlavy II kapitoly 6 oddielu 9 nariadenia (EÚ) </w:t>
            </w:r>
            <w:r w:rsidR="00CC28D3">
              <w:rPr>
                <w:rFonts w:ascii="Times New Roman" w:hAnsi="Times New Roman"/>
                <w:sz w:val="24"/>
              </w:rPr>
              <w:t>č. </w:t>
            </w:r>
            <w:r w:rsidRPr="00CC28D3">
              <w:rPr>
                <w:rFonts w:ascii="Times New Roman" w:hAnsi="Times New Roman"/>
                <w:sz w:val="24"/>
              </w:rPr>
              <w:t>575/2013 vypočítaná</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príslušnými metódami stanovenými</w:t>
            </w:r>
            <w:r w:rsidR="00CC28D3">
              <w:rPr>
                <w:rFonts w:ascii="Times New Roman" w:hAnsi="Times New Roman"/>
                <w:sz w:val="24"/>
              </w:rPr>
              <w:t xml:space="preserve"> v </w:t>
            </w:r>
            <w:r w:rsidRPr="00CC28D3">
              <w:rPr>
                <w:rFonts w:ascii="Times New Roman" w:hAnsi="Times New Roman"/>
                <w:sz w:val="24"/>
              </w:rPr>
              <w:t>uvedenej kapitole,</w:t>
            </w:r>
            <w:r w:rsidR="00CC28D3">
              <w:rPr>
                <w:rFonts w:ascii="Times New Roman" w:hAnsi="Times New Roman"/>
                <w:sz w:val="24"/>
              </w:rPr>
              <w:t xml:space="preserve"> a </w:t>
            </w:r>
            <w:r w:rsidRPr="00CC28D3">
              <w:rPr>
                <w:rFonts w:ascii="Times New Roman" w:hAnsi="Times New Roman"/>
                <w:sz w:val="24"/>
              </w:rPr>
              <w:t>najmä</w:t>
            </w:r>
            <w:r w:rsidR="00CC28D3">
              <w:rPr>
                <w:rFonts w:ascii="Times New Roman" w:hAnsi="Times New Roman"/>
                <w:sz w:val="24"/>
              </w:rPr>
              <w:t xml:space="preserve"> v </w:t>
            </w:r>
            <w:r w:rsidRPr="00CC28D3">
              <w:rPr>
                <w:rFonts w:ascii="Times New Roman" w:hAnsi="Times New Roman"/>
                <w:sz w:val="24"/>
              </w:rPr>
              <w:t>oddiele 9 uvedenej kapitoly.</w:t>
            </w:r>
          </w:p>
          <w:p w14:paraId="4A7F4393" w14:textId="77320040" w:rsidR="00EF74C7" w:rsidRPr="00CC28D3" w:rsidRDefault="00EF74C7" w:rsidP="00822842">
            <w:pPr>
              <w:keepNext/>
              <w:spacing w:before="60"/>
              <w:rPr>
                <w:rFonts w:ascii="Times New Roman" w:hAnsi="Times New Roman"/>
                <w:sz w:val="24"/>
              </w:rPr>
            </w:pPr>
            <w:r w:rsidRPr="00CC28D3">
              <w:rPr>
                <w:rFonts w:ascii="Times New Roman" w:hAnsi="Times New Roman"/>
                <w:sz w:val="24"/>
              </w:rPr>
              <w:t>Vykazovaná hodnota expozície je hodnota relevantná pre výpočet požiadaviek na vlastné zdroje</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6 oddielom 9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s </w:t>
            </w:r>
            <w:r w:rsidRPr="00CC28D3">
              <w:rPr>
                <w:rFonts w:ascii="Times New Roman" w:hAnsi="Times New Roman"/>
                <w:sz w:val="24"/>
              </w:rPr>
              <w:t>prihliadnutím na požiadavky</w:t>
            </w:r>
            <w:r w:rsidR="00CC28D3">
              <w:rPr>
                <w:rFonts w:ascii="Times New Roman" w:hAnsi="Times New Roman"/>
                <w:sz w:val="24"/>
              </w:rPr>
              <w:t xml:space="preserve"> v </w:t>
            </w:r>
            <w:r w:rsidRPr="00CC28D3">
              <w:rPr>
                <w:rFonts w:ascii="Times New Roman" w:hAnsi="Times New Roman"/>
                <w:sz w:val="24"/>
              </w:rPr>
              <w:t>článku 497 uvedeného nariadenia počas prechodného obdobia stanoveného</w:t>
            </w:r>
            <w:r w:rsidR="00CC28D3">
              <w:rPr>
                <w:rFonts w:ascii="Times New Roman" w:hAnsi="Times New Roman"/>
                <w:sz w:val="24"/>
              </w:rPr>
              <w:t xml:space="preserve"> v </w:t>
            </w:r>
            <w:r w:rsidRPr="00CC28D3">
              <w:rPr>
                <w:rFonts w:ascii="Times New Roman" w:hAnsi="Times New Roman"/>
                <w:sz w:val="24"/>
              </w:rPr>
              <w:t>uvedenom článku.</w:t>
            </w:r>
          </w:p>
          <w:p w14:paraId="0F502FE9" w14:textId="4B52C23B" w:rsidR="00EF74C7" w:rsidRPr="00CC28D3" w:rsidRDefault="00EF74C7" w:rsidP="00822842">
            <w:pPr>
              <w:keepNext/>
              <w:spacing w:before="60"/>
              <w:rPr>
                <w:rFonts w:ascii="Times New Roman" w:hAnsi="Times New Roman"/>
                <w:sz w:val="24"/>
              </w:rPr>
            </w:pPr>
            <w:r w:rsidRPr="00CC28D3">
              <w:rPr>
                <w:rFonts w:ascii="Times New Roman" w:hAnsi="Times New Roman"/>
                <w:sz w:val="24"/>
              </w:rPr>
              <w:t>Expozícia môže byť obchodnou expozíciou</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4 ods. 1 bode 91 nariadenia (EÚ) </w:t>
            </w:r>
            <w:r w:rsidR="00CC28D3">
              <w:rPr>
                <w:rFonts w:ascii="Times New Roman" w:hAnsi="Times New Roman"/>
                <w:sz w:val="24"/>
              </w:rPr>
              <w:t>č. </w:t>
            </w:r>
            <w:r w:rsidRPr="00CC28D3">
              <w:rPr>
                <w:rFonts w:ascii="Times New Roman" w:hAnsi="Times New Roman"/>
                <w:sz w:val="24"/>
              </w:rPr>
              <w:t>575/2013.</w:t>
            </w:r>
          </w:p>
        </w:tc>
      </w:tr>
      <w:tr w:rsidR="00EF74C7" w:rsidRPr="00CC28D3" w14:paraId="774930E7" w14:textId="77777777" w:rsidTr="00822842">
        <w:trPr>
          <w:trHeight w:val="680"/>
        </w:trPr>
        <w:tc>
          <w:tcPr>
            <w:tcW w:w="1384" w:type="dxa"/>
          </w:tcPr>
          <w:p w14:paraId="557FAF2F" w14:textId="77777777" w:rsidR="00EF74C7" w:rsidRPr="00CC28D3" w:rsidRDefault="00EF74C7" w:rsidP="00822842">
            <w:pPr>
              <w:pStyle w:val="Applicationdirecte"/>
              <w:spacing w:before="0" w:after="0"/>
            </w:pPr>
            <w:r w:rsidRPr="00CC28D3">
              <w:t>0020</w:t>
            </w:r>
          </w:p>
        </w:tc>
        <w:tc>
          <w:tcPr>
            <w:tcW w:w="7655" w:type="dxa"/>
            <w:vAlign w:val="center"/>
          </w:tcPr>
          <w:p w14:paraId="1E7084BA" w14:textId="77777777" w:rsidR="00EF74C7" w:rsidRPr="00CC28D3" w:rsidRDefault="00EF74C7" w:rsidP="00822842">
            <w:pPr>
              <w:keepNext/>
              <w:tabs>
                <w:tab w:val="left" w:pos="6983"/>
              </w:tabs>
              <w:spacing w:before="60"/>
              <w:rPr>
                <w:rStyle w:val="InstructionsTabelleberschrift"/>
                <w:rFonts w:ascii="Times New Roman" w:hAnsi="Times New Roman"/>
                <w:sz w:val="24"/>
              </w:rPr>
            </w:pPr>
            <w:r w:rsidRPr="00CC28D3">
              <w:rPr>
                <w:rStyle w:val="InstructionsTabelleberschrift"/>
                <w:rFonts w:ascii="Times New Roman" w:hAnsi="Times New Roman"/>
                <w:sz w:val="24"/>
              </w:rPr>
              <w:t>HODNOTY RIZIKOVO VÁŽENÝCH EXPOZÍCIÍ</w:t>
            </w:r>
          </w:p>
          <w:p w14:paraId="5DA0A790" w14:textId="2780F670" w:rsidR="00EF74C7" w:rsidRPr="00CC28D3" w:rsidRDefault="00EF74C7" w:rsidP="00822842">
            <w:pPr>
              <w:keepNext/>
              <w:spacing w:before="60"/>
              <w:rPr>
                <w:rFonts w:ascii="Times New Roman" w:hAnsi="Times New Roman"/>
                <w:strike/>
                <w:sz w:val="24"/>
              </w:rPr>
            </w:pPr>
            <w:r w:rsidRPr="00CC28D3">
              <w:rPr>
                <w:rFonts w:ascii="Times New Roman" w:hAnsi="Times New Roman"/>
                <w:sz w:val="24"/>
              </w:rPr>
              <w:t>Hodnoty rizikovo vážených expozícií určené</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 xml:space="preserve">treťou časťou hlavou II kapitolou 6 oddielom 9 nariadenia (EÚ) </w:t>
            </w:r>
            <w:r w:rsidR="00CC28D3">
              <w:rPr>
                <w:rFonts w:ascii="Times New Roman" w:hAnsi="Times New Roman"/>
                <w:sz w:val="24"/>
              </w:rPr>
              <w:t>č. </w:t>
            </w:r>
            <w:r w:rsidRPr="00CC28D3">
              <w:rPr>
                <w:rFonts w:ascii="Times New Roman" w:hAnsi="Times New Roman"/>
                <w:sz w:val="24"/>
              </w:rPr>
              <w:t>575/2013,</w:t>
            </w:r>
            <w:r w:rsidR="00CC28D3">
              <w:rPr>
                <w:rFonts w:ascii="Times New Roman" w:hAnsi="Times New Roman"/>
                <w:sz w:val="24"/>
              </w:rPr>
              <w:t xml:space="preserve"> s </w:t>
            </w:r>
            <w:r w:rsidRPr="00CC28D3">
              <w:rPr>
                <w:rFonts w:ascii="Times New Roman" w:hAnsi="Times New Roman"/>
                <w:sz w:val="24"/>
              </w:rPr>
              <w:t>prihliadnutím na požiadavky</w:t>
            </w:r>
            <w:r w:rsidR="00CC28D3">
              <w:rPr>
                <w:rFonts w:ascii="Times New Roman" w:hAnsi="Times New Roman"/>
                <w:sz w:val="24"/>
              </w:rPr>
              <w:t xml:space="preserve"> v </w:t>
            </w:r>
            <w:r w:rsidRPr="00CC28D3">
              <w:rPr>
                <w:rFonts w:ascii="Times New Roman" w:hAnsi="Times New Roman"/>
                <w:sz w:val="24"/>
              </w:rPr>
              <w:t>článku 497 uvedeného nariadenia počas prechodného obdobia stanoveného</w:t>
            </w:r>
            <w:r w:rsidR="00CC28D3">
              <w:rPr>
                <w:rFonts w:ascii="Times New Roman" w:hAnsi="Times New Roman"/>
                <w:sz w:val="24"/>
              </w:rPr>
              <w:t xml:space="preserve"> v </w:t>
            </w:r>
            <w:r w:rsidRPr="00CC28D3">
              <w:rPr>
                <w:rFonts w:ascii="Times New Roman" w:hAnsi="Times New Roman"/>
                <w:sz w:val="24"/>
              </w:rPr>
              <w:t>uvedenom článku.</w:t>
            </w:r>
          </w:p>
        </w:tc>
      </w:tr>
    </w:tbl>
    <w:p w14:paraId="4DE5F5D8" w14:textId="77777777" w:rsidR="00EF74C7" w:rsidRPr="00CC28D3"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6AE86182" w14:textId="77777777" w:rsidTr="00822842">
        <w:trPr>
          <w:trHeight w:val="238"/>
        </w:trPr>
        <w:tc>
          <w:tcPr>
            <w:tcW w:w="9039" w:type="dxa"/>
            <w:gridSpan w:val="2"/>
            <w:shd w:val="clear" w:color="auto" w:fill="D9D9D9" w:themeFill="background1" w:themeFillShade="D9"/>
          </w:tcPr>
          <w:p w14:paraId="0A1536EA" w14:textId="77777777" w:rsidR="00EF74C7" w:rsidRPr="00CC28D3" w:rsidRDefault="00EF74C7" w:rsidP="00822842">
            <w:pPr>
              <w:autoSpaceDE w:val="0"/>
              <w:autoSpaceDN w:val="0"/>
              <w:adjustRightInd w:val="0"/>
              <w:rPr>
                <w:rFonts w:ascii="Times New Roman" w:hAnsi="Times New Roman"/>
                <w:sz w:val="24"/>
              </w:rPr>
            </w:pPr>
            <w:r w:rsidRPr="00CC28D3">
              <w:rPr>
                <w:rFonts w:ascii="Times New Roman" w:hAnsi="Times New Roman"/>
                <w:b/>
                <w:sz w:val="24"/>
              </w:rPr>
              <w:t xml:space="preserve">Riadky </w:t>
            </w:r>
          </w:p>
        </w:tc>
      </w:tr>
      <w:tr w:rsidR="00EF74C7" w:rsidRPr="00CC28D3" w14:paraId="2D4AF3E6" w14:textId="77777777" w:rsidTr="00822842">
        <w:trPr>
          <w:trHeight w:val="680"/>
        </w:trPr>
        <w:tc>
          <w:tcPr>
            <w:tcW w:w="1384" w:type="dxa"/>
          </w:tcPr>
          <w:p w14:paraId="6FF1A266" w14:textId="77777777" w:rsidR="00EF74C7" w:rsidRPr="00CC28D3" w:rsidRDefault="00EF74C7" w:rsidP="00822842">
            <w:pPr>
              <w:pStyle w:val="Applicationdirecte"/>
              <w:spacing w:before="0" w:after="0"/>
            </w:pPr>
            <w:r w:rsidRPr="00CC28D3">
              <w:t>0010 – 0100</w:t>
            </w:r>
          </w:p>
        </w:tc>
        <w:tc>
          <w:tcPr>
            <w:tcW w:w="7655" w:type="dxa"/>
            <w:vAlign w:val="center"/>
          </w:tcPr>
          <w:p w14:paraId="4E056D60" w14:textId="77777777" w:rsidR="00CC28D3" w:rsidRDefault="00EF74C7" w:rsidP="00822842">
            <w:pPr>
              <w:spacing w:beforeLines="60" w:before="144" w:afterLines="60" w:after="144"/>
              <w:rPr>
                <w:rFonts w:ascii="Times New Roman" w:hAnsi="Times New Roman"/>
                <w:sz w:val="24"/>
              </w:rPr>
            </w:pPr>
            <w:r w:rsidRPr="00CC28D3">
              <w:rPr>
                <w:rStyle w:val="InstructionsTabelleberschrift"/>
                <w:rFonts w:ascii="Times New Roman" w:hAnsi="Times New Roman"/>
                <w:sz w:val="24"/>
              </w:rPr>
              <w:t>Kvalifikovaná centrálna protistrana (QCCP)</w:t>
            </w:r>
          </w:p>
          <w:p w14:paraId="4AFED555" w14:textId="1AF61913" w:rsidR="00EF74C7" w:rsidRPr="00CC28D3" w:rsidRDefault="00EF74C7" w:rsidP="00822842">
            <w:pPr>
              <w:spacing w:beforeLines="60" w:before="144" w:afterLines="60" w:after="144"/>
              <w:rPr>
                <w:rFonts w:ascii="Times New Roman" w:hAnsi="Times New Roman"/>
                <w:sz w:val="24"/>
              </w:rPr>
            </w:pPr>
            <w:r w:rsidRPr="00CC28D3">
              <w:rPr>
                <w:rFonts w:ascii="Times New Roman" w:hAnsi="Times New Roman"/>
                <w:sz w:val="24"/>
              </w:rPr>
              <w:t>Kvalifikovaná centrálna protistrana alebo „QCCP“</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4 ods. 1 bode 88 nariadenia (EÚ) </w:t>
            </w:r>
            <w:r w:rsidR="00CC28D3">
              <w:rPr>
                <w:rFonts w:ascii="Times New Roman" w:hAnsi="Times New Roman"/>
                <w:sz w:val="24"/>
              </w:rPr>
              <w:t>č. </w:t>
            </w:r>
            <w:r w:rsidRPr="00CC28D3">
              <w:rPr>
                <w:rFonts w:ascii="Times New Roman" w:hAnsi="Times New Roman"/>
                <w:sz w:val="24"/>
              </w:rPr>
              <w:t xml:space="preserve">575/2013. </w:t>
            </w:r>
          </w:p>
        </w:tc>
      </w:tr>
      <w:tr w:rsidR="00EF74C7" w:rsidRPr="00CC28D3" w14:paraId="4EE07156" w14:textId="77777777" w:rsidTr="00822842">
        <w:trPr>
          <w:trHeight w:val="680"/>
        </w:trPr>
        <w:tc>
          <w:tcPr>
            <w:tcW w:w="1384" w:type="dxa"/>
          </w:tcPr>
          <w:p w14:paraId="2F7B861D" w14:textId="77777777" w:rsidR="00EF74C7" w:rsidRPr="00CC28D3" w:rsidRDefault="00EF74C7" w:rsidP="00822842">
            <w:pPr>
              <w:pStyle w:val="Applicationdirecte"/>
              <w:spacing w:before="0" w:after="0"/>
            </w:pPr>
            <w:r w:rsidRPr="00CC28D3">
              <w:t>0070, 0080</w:t>
            </w:r>
          </w:p>
          <w:p w14:paraId="30D4CBEC" w14:textId="77777777" w:rsidR="00EF74C7" w:rsidRPr="00CC28D3" w:rsidRDefault="00EF74C7" w:rsidP="00822842">
            <w:pPr>
              <w:pStyle w:val="Fait"/>
            </w:pPr>
            <w:r w:rsidRPr="00CC28D3">
              <w:t>0170, 0180</w:t>
            </w:r>
          </w:p>
        </w:tc>
        <w:tc>
          <w:tcPr>
            <w:tcW w:w="7655" w:type="dxa"/>
            <w:vAlign w:val="center"/>
          </w:tcPr>
          <w:p w14:paraId="6E9FD7DA" w14:textId="77777777" w:rsidR="00EF74C7" w:rsidRPr="00CC28D3" w:rsidRDefault="00EF74C7" w:rsidP="00822842">
            <w:pPr>
              <w:keepNext/>
              <w:spacing w:before="60"/>
              <w:rPr>
                <w:rStyle w:val="InstructionsTabelleberschrift"/>
                <w:rFonts w:ascii="Times New Roman" w:hAnsi="Times New Roman"/>
                <w:b w:val="0"/>
                <w:sz w:val="24"/>
              </w:rPr>
            </w:pPr>
            <w:r w:rsidRPr="00CC28D3">
              <w:rPr>
                <w:rStyle w:val="InstructionsTabelleberschrift"/>
                <w:rFonts w:ascii="Times New Roman" w:hAnsi="Times New Roman"/>
                <w:sz w:val="24"/>
              </w:rPr>
              <w:t>Počiatočná marža</w:t>
            </w:r>
          </w:p>
          <w:p w14:paraId="0528AC1A" w14:textId="77777777" w:rsidR="00EF74C7" w:rsidRPr="00CC28D3" w:rsidRDefault="00EF74C7" w:rsidP="00822842">
            <w:pPr>
              <w:keepNext/>
              <w:spacing w:before="60"/>
              <w:rPr>
                <w:rFonts w:ascii="Times New Roman" w:hAnsi="Times New Roman"/>
                <w:sz w:val="24"/>
              </w:rPr>
            </w:pPr>
            <w:r w:rsidRPr="00CC28D3">
              <w:rPr>
                <w:rFonts w:ascii="Times New Roman" w:hAnsi="Times New Roman"/>
                <w:sz w:val="24"/>
              </w:rPr>
              <w:t>Pozri pokyny pre vzor C 34.08.</w:t>
            </w:r>
          </w:p>
          <w:p w14:paraId="045F1620" w14:textId="516F0668" w:rsidR="00EF74C7" w:rsidRPr="00CC28D3" w:rsidRDefault="00EF74C7" w:rsidP="00822842">
            <w:pPr>
              <w:keepNext/>
              <w:spacing w:before="60"/>
              <w:rPr>
                <w:rFonts w:ascii="Times New Roman" w:hAnsi="Times New Roman"/>
                <w:i/>
                <w:sz w:val="24"/>
              </w:rPr>
            </w:pPr>
            <w:r w:rsidRPr="00CC28D3">
              <w:rPr>
                <w:rFonts w:ascii="Times New Roman" w:hAnsi="Times New Roman"/>
                <w:sz w:val="24"/>
              </w:rPr>
              <w:t>Na účely tohto vzoru počiatočná marža nezahŕňa príspevky do CCP na </w:t>
            </w:r>
            <w:proofErr w:type="spellStart"/>
            <w:r w:rsidRPr="00CC28D3">
              <w:rPr>
                <w:rFonts w:ascii="Times New Roman" w:hAnsi="Times New Roman"/>
                <w:sz w:val="24"/>
              </w:rPr>
              <w:t>mutualizované</w:t>
            </w:r>
            <w:proofErr w:type="spellEnd"/>
            <w:r w:rsidRPr="00CC28D3">
              <w:rPr>
                <w:rFonts w:ascii="Times New Roman" w:hAnsi="Times New Roman"/>
                <w:sz w:val="24"/>
              </w:rPr>
              <w:t xml:space="preserve"> mechanizmy rozdeľovania strát (t. j.</w:t>
            </w:r>
            <w:r w:rsidR="00CC28D3">
              <w:rPr>
                <w:rFonts w:ascii="Times New Roman" w:hAnsi="Times New Roman"/>
                <w:sz w:val="24"/>
              </w:rPr>
              <w:t xml:space="preserve"> v </w:t>
            </w:r>
            <w:r w:rsidRPr="00CC28D3">
              <w:rPr>
                <w:rFonts w:ascii="Times New Roman" w:hAnsi="Times New Roman"/>
                <w:sz w:val="24"/>
              </w:rPr>
              <w:t xml:space="preserve">prípadoch, keď CCP používa počiatočnú maržu na </w:t>
            </w:r>
            <w:proofErr w:type="spellStart"/>
            <w:r w:rsidRPr="00CC28D3">
              <w:rPr>
                <w:rFonts w:ascii="Times New Roman" w:hAnsi="Times New Roman"/>
                <w:sz w:val="24"/>
              </w:rPr>
              <w:t>mutualizáciu</w:t>
            </w:r>
            <w:proofErr w:type="spellEnd"/>
            <w:r w:rsidRPr="00CC28D3">
              <w:rPr>
                <w:rFonts w:ascii="Times New Roman" w:hAnsi="Times New Roman"/>
                <w:sz w:val="24"/>
              </w:rPr>
              <w:t xml:space="preserve"> strát medzi jej zúčtovacích členov, zaobchádza sa</w:t>
            </w:r>
            <w:r w:rsidR="00CC28D3">
              <w:rPr>
                <w:rFonts w:ascii="Times New Roman" w:hAnsi="Times New Roman"/>
                <w:sz w:val="24"/>
              </w:rPr>
              <w:t xml:space="preserve"> s </w:t>
            </w:r>
            <w:r w:rsidRPr="00CC28D3">
              <w:rPr>
                <w:rFonts w:ascii="Times New Roman" w:hAnsi="Times New Roman"/>
                <w:sz w:val="24"/>
              </w:rPr>
              <w:t>ňou ako</w:t>
            </w:r>
            <w:r w:rsidR="00CC28D3">
              <w:rPr>
                <w:rFonts w:ascii="Times New Roman" w:hAnsi="Times New Roman"/>
                <w:sz w:val="24"/>
              </w:rPr>
              <w:t xml:space="preserve"> s </w:t>
            </w:r>
            <w:r w:rsidRPr="00CC28D3">
              <w:rPr>
                <w:rFonts w:ascii="Times New Roman" w:hAnsi="Times New Roman"/>
                <w:sz w:val="24"/>
              </w:rPr>
              <w:t xml:space="preserve">expozíciou voči fondu pre prípad zlyhania). </w:t>
            </w:r>
          </w:p>
        </w:tc>
      </w:tr>
      <w:tr w:rsidR="00EF74C7" w:rsidRPr="00CC28D3" w14:paraId="678BD1FD" w14:textId="77777777" w:rsidTr="00822842">
        <w:trPr>
          <w:trHeight w:val="680"/>
        </w:trPr>
        <w:tc>
          <w:tcPr>
            <w:tcW w:w="1384" w:type="dxa"/>
          </w:tcPr>
          <w:p w14:paraId="1368D46D" w14:textId="77777777" w:rsidR="00EF74C7" w:rsidRPr="00CC28D3" w:rsidRDefault="00EF74C7" w:rsidP="00822842">
            <w:pPr>
              <w:pStyle w:val="Applicationdirecte"/>
              <w:spacing w:before="0" w:after="0"/>
            </w:pPr>
            <w:r w:rsidRPr="00CC28D3">
              <w:t>0090, 0190</w:t>
            </w:r>
          </w:p>
        </w:tc>
        <w:tc>
          <w:tcPr>
            <w:tcW w:w="7655" w:type="dxa"/>
            <w:vAlign w:val="center"/>
          </w:tcPr>
          <w:p w14:paraId="37AA0774" w14:textId="77777777" w:rsidR="00EF74C7" w:rsidRPr="00CC28D3" w:rsidRDefault="00EF74C7" w:rsidP="00822842">
            <w:pPr>
              <w:spacing w:beforeLines="60" w:before="144" w:afterLines="60" w:after="144"/>
              <w:rPr>
                <w:rStyle w:val="InstructionsTabelleberschrift"/>
                <w:rFonts w:ascii="Times New Roman" w:hAnsi="Times New Roman"/>
                <w:sz w:val="24"/>
              </w:rPr>
            </w:pPr>
            <w:proofErr w:type="spellStart"/>
            <w:r w:rsidRPr="00CC28D3">
              <w:rPr>
                <w:rStyle w:val="InstructionsTabelleberschrift"/>
                <w:rFonts w:ascii="Times New Roman" w:hAnsi="Times New Roman"/>
                <w:sz w:val="24"/>
              </w:rPr>
              <w:t>Predfinancované</w:t>
            </w:r>
            <w:proofErr w:type="spellEnd"/>
            <w:r w:rsidRPr="00CC28D3">
              <w:rPr>
                <w:rStyle w:val="InstructionsTabelleberschrift"/>
                <w:rFonts w:ascii="Times New Roman" w:hAnsi="Times New Roman"/>
                <w:sz w:val="24"/>
              </w:rPr>
              <w:t xml:space="preserve"> príspevky do fondu pre prípad zlyhania</w:t>
            </w:r>
          </w:p>
          <w:p w14:paraId="10ECCD47" w14:textId="6A5FD0F2" w:rsidR="00EF74C7" w:rsidRPr="00CC28D3" w:rsidRDefault="00EF74C7" w:rsidP="00822842">
            <w:pPr>
              <w:keepNext/>
              <w:spacing w:before="60"/>
              <w:rPr>
                <w:rFonts w:ascii="Times New Roman" w:hAnsi="Times New Roman"/>
                <w:sz w:val="24"/>
              </w:rPr>
            </w:pPr>
            <w:r w:rsidRPr="00CC28D3">
              <w:rPr>
                <w:rFonts w:ascii="Times New Roman" w:hAnsi="Times New Roman"/>
                <w:sz w:val="24"/>
              </w:rPr>
              <w:t>Články 308</w:t>
            </w:r>
            <w:r w:rsidR="00CC28D3">
              <w:rPr>
                <w:rFonts w:ascii="Times New Roman" w:hAnsi="Times New Roman"/>
                <w:sz w:val="24"/>
              </w:rPr>
              <w:t xml:space="preserve"> a </w:t>
            </w:r>
            <w:r w:rsidRPr="00CC28D3">
              <w:rPr>
                <w:rFonts w:ascii="Times New Roman" w:hAnsi="Times New Roman"/>
                <w:sz w:val="24"/>
              </w:rPr>
              <w:t xml:space="preserve">309 nariadenia (EÚ) </w:t>
            </w:r>
            <w:r w:rsidR="00CC28D3">
              <w:rPr>
                <w:rFonts w:ascii="Times New Roman" w:hAnsi="Times New Roman"/>
                <w:sz w:val="24"/>
              </w:rPr>
              <w:t>č. </w:t>
            </w:r>
            <w:r w:rsidRPr="00CC28D3">
              <w:rPr>
                <w:rFonts w:ascii="Times New Roman" w:hAnsi="Times New Roman"/>
                <w:sz w:val="24"/>
              </w:rPr>
              <w:t>575/2013; fond pre prípad zlyhania</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4 ods. 1 bode 89 nariadenia (EÚ) </w:t>
            </w:r>
            <w:r w:rsidR="00CC28D3">
              <w:rPr>
                <w:rFonts w:ascii="Times New Roman" w:hAnsi="Times New Roman"/>
                <w:sz w:val="24"/>
              </w:rPr>
              <w:t>č. </w:t>
            </w:r>
            <w:r w:rsidRPr="00CC28D3">
              <w:rPr>
                <w:rFonts w:ascii="Times New Roman" w:hAnsi="Times New Roman"/>
                <w:sz w:val="24"/>
              </w:rPr>
              <w:t>575/2013; príspevok do fondu pre prípad zlyhania centrálnej protistrany, ktorý platí inštitúcia</w:t>
            </w:r>
          </w:p>
        </w:tc>
      </w:tr>
      <w:tr w:rsidR="00EF74C7" w:rsidRPr="00CC28D3" w14:paraId="7BD4821D" w14:textId="77777777" w:rsidTr="00822842">
        <w:trPr>
          <w:trHeight w:val="680"/>
        </w:trPr>
        <w:tc>
          <w:tcPr>
            <w:tcW w:w="1384" w:type="dxa"/>
          </w:tcPr>
          <w:p w14:paraId="7A03D5C3" w14:textId="77777777" w:rsidR="00EF74C7" w:rsidRPr="00CC28D3" w:rsidRDefault="00EF74C7" w:rsidP="00822842">
            <w:pPr>
              <w:pStyle w:val="Applicationdirecte"/>
              <w:spacing w:before="0" w:after="0"/>
            </w:pPr>
            <w:r w:rsidRPr="00CC28D3">
              <w:lastRenderedPageBreak/>
              <w:t>0100, 0200</w:t>
            </w:r>
          </w:p>
        </w:tc>
        <w:tc>
          <w:tcPr>
            <w:tcW w:w="7655" w:type="dxa"/>
            <w:vAlign w:val="center"/>
          </w:tcPr>
          <w:p w14:paraId="002C878A"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Nefinancované príspevky do fondu pre prípad zlyhania</w:t>
            </w:r>
          </w:p>
          <w:p w14:paraId="4758699C" w14:textId="5E77CA2D" w:rsidR="00EF74C7" w:rsidRPr="00CC28D3" w:rsidRDefault="00EF74C7" w:rsidP="00822842">
            <w:pPr>
              <w:keepNext/>
              <w:spacing w:before="60"/>
              <w:rPr>
                <w:rStyle w:val="InstructionsTabelleberschrift"/>
                <w:rFonts w:ascii="Times New Roman" w:hAnsi="Times New Roman"/>
                <w:b w:val="0"/>
                <w:bCs w:val="0"/>
                <w:sz w:val="24"/>
              </w:rPr>
            </w:pPr>
            <w:r w:rsidRPr="00CC28D3">
              <w:rPr>
                <w:rFonts w:ascii="Times New Roman" w:hAnsi="Times New Roman"/>
                <w:sz w:val="24"/>
              </w:rPr>
              <w:t>Články 309</w:t>
            </w:r>
            <w:r w:rsidR="00CC28D3">
              <w:rPr>
                <w:rFonts w:ascii="Times New Roman" w:hAnsi="Times New Roman"/>
                <w:sz w:val="24"/>
              </w:rPr>
              <w:t xml:space="preserve"> a </w:t>
            </w:r>
            <w:r w:rsidRPr="00CC28D3">
              <w:rPr>
                <w:rFonts w:ascii="Times New Roman" w:hAnsi="Times New Roman"/>
                <w:sz w:val="24"/>
              </w:rPr>
              <w:t xml:space="preserve">310 nariadenia (EÚ) </w:t>
            </w:r>
            <w:r w:rsidR="00CC28D3">
              <w:rPr>
                <w:rFonts w:ascii="Times New Roman" w:hAnsi="Times New Roman"/>
                <w:sz w:val="24"/>
              </w:rPr>
              <w:t>č. </w:t>
            </w:r>
            <w:r w:rsidRPr="00CC28D3">
              <w:rPr>
                <w:rFonts w:ascii="Times New Roman" w:hAnsi="Times New Roman"/>
                <w:sz w:val="24"/>
              </w:rPr>
              <w:t>575/2013; fond pre prípad zlyhania</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4 ods. 1 bode 89 nariadenia (EÚ) </w:t>
            </w:r>
            <w:r w:rsidR="00CC28D3">
              <w:rPr>
                <w:rFonts w:ascii="Times New Roman" w:hAnsi="Times New Roman"/>
                <w:sz w:val="24"/>
              </w:rPr>
              <w:t>č. </w:t>
            </w:r>
            <w:r w:rsidRPr="00CC28D3">
              <w:rPr>
                <w:rFonts w:ascii="Times New Roman" w:hAnsi="Times New Roman"/>
                <w:sz w:val="24"/>
              </w:rPr>
              <w:t>575/2013</w:t>
            </w:r>
          </w:p>
          <w:p w14:paraId="25D87385" w14:textId="0AAC5AE0" w:rsidR="00EF74C7" w:rsidRPr="00CC28D3" w:rsidRDefault="00EF74C7" w:rsidP="00822842">
            <w:pPr>
              <w:keepNext/>
              <w:spacing w:before="60"/>
              <w:rPr>
                <w:rFonts w:ascii="Times New Roman" w:hAnsi="Times New Roman"/>
                <w:sz w:val="24"/>
              </w:rPr>
            </w:pPr>
            <w:r w:rsidRPr="00CC28D3">
              <w:rPr>
                <w:rFonts w:ascii="Times New Roman" w:hAnsi="Times New Roman"/>
                <w:sz w:val="24"/>
              </w:rPr>
              <w:t>Inštitúcie vykazujú príspevky, ktoré sa inštitúcia konajúca ako zúčtovací člen zmluvne zaviazala poskytnúť CCP po tom, ako CCP vyčerpala svoj fond pre prípad zlyhania, na pokrytie strát, ktoré jej vznikli</w:t>
            </w:r>
            <w:r w:rsidR="00CC28D3">
              <w:rPr>
                <w:rFonts w:ascii="Times New Roman" w:hAnsi="Times New Roman"/>
                <w:sz w:val="24"/>
              </w:rPr>
              <w:t xml:space="preserve"> v </w:t>
            </w:r>
            <w:r w:rsidRPr="00CC28D3">
              <w:rPr>
                <w:rFonts w:ascii="Times New Roman" w:hAnsi="Times New Roman"/>
                <w:sz w:val="24"/>
              </w:rPr>
              <w:t>dôsledku zlyhania jedného alebo viacerých jej zúčtovacích členov.</w:t>
            </w:r>
          </w:p>
        </w:tc>
      </w:tr>
      <w:tr w:rsidR="00EF74C7" w:rsidRPr="00CC28D3" w14:paraId="7623E425" w14:textId="77777777" w:rsidTr="00822842">
        <w:trPr>
          <w:trHeight w:val="680"/>
        </w:trPr>
        <w:tc>
          <w:tcPr>
            <w:tcW w:w="1384" w:type="dxa"/>
          </w:tcPr>
          <w:p w14:paraId="229099B5" w14:textId="77777777" w:rsidR="00EF74C7" w:rsidRPr="00CC28D3" w:rsidRDefault="00EF74C7" w:rsidP="00822842">
            <w:pPr>
              <w:pStyle w:val="Applicationdirecte"/>
              <w:spacing w:before="0" w:after="0"/>
            </w:pPr>
            <w:r w:rsidRPr="00CC28D3">
              <w:t>0070, 0170</w:t>
            </w:r>
          </w:p>
        </w:tc>
        <w:tc>
          <w:tcPr>
            <w:tcW w:w="7655" w:type="dxa"/>
            <w:vAlign w:val="center"/>
          </w:tcPr>
          <w:p w14:paraId="2065824F"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Oddelený</w:t>
            </w:r>
          </w:p>
          <w:p w14:paraId="7144C419" w14:textId="77777777" w:rsidR="00EF74C7" w:rsidRPr="00CC28D3" w:rsidRDefault="00EF74C7" w:rsidP="00822842">
            <w:pPr>
              <w:spacing w:before="60"/>
              <w:rPr>
                <w:rFonts w:ascii="Times New Roman" w:eastAsia="Calibri" w:hAnsi="Times New Roman"/>
                <w:sz w:val="24"/>
              </w:rPr>
            </w:pPr>
            <w:r w:rsidRPr="00CC28D3">
              <w:rPr>
                <w:rFonts w:ascii="Times New Roman" w:hAnsi="Times New Roman"/>
                <w:sz w:val="24"/>
              </w:rPr>
              <w:t>Pozri pokyny pre vzor C 34.08.</w:t>
            </w:r>
          </w:p>
        </w:tc>
      </w:tr>
      <w:tr w:rsidR="00EF74C7" w:rsidRPr="00CC28D3" w14:paraId="26D915DB" w14:textId="77777777" w:rsidTr="00822842">
        <w:trPr>
          <w:trHeight w:val="680"/>
        </w:trPr>
        <w:tc>
          <w:tcPr>
            <w:tcW w:w="1384" w:type="dxa"/>
          </w:tcPr>
          <w:p w14:paraId="59F46364" w14:textId="77777777" w:rsidR="00EF74C7" w:rsidRPr="00CC28D3" w:rsidRDefault="00EF74C7" w:rsidP="00822842">
            <w:pPr>
              <w:pStyle w:val="Applicationdirecte"/>
              <w:spacing w:before="0" w:after="0"/>
            </w:pPr>
            <w:r w:rsidRPr="00CC28D3">
              <w:t>0080, 0180</w:t>
            </w:r>
          </w:p>
        </w:tc>
        <w:tc>
          <w:tcPr>
            <w:tcW w:w="7655" w:type="dxa"/>
            <w:vAlign w:val="center"/>
          </w:tcPr>
          <w:p w14:paraId="0F95C83A"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Neoddelený</w:t>
            </w:r>
          </w:p>
          <w:p w14:paraId="002F04D5" w14:textId="77777777" w:rsidR="00EF74C7" w:rsidRPr="00CC28D3" w:rsidRDefault="00EF74C7" w:rsidP="00822842">
            <w:pPr>
              <w:spacing w:before="60"/>
              <w:rPr>
                <w:rFonts w:ascii="Times New Roman" w:eastAsia="Calibri" w:hAnsi="Times New Roman"/>
                <w:sz w:val="24"/>
              </w:rPr>
            </w:pPr>
            <w:r w:rsidRPr="00CC28D3">
              <w:rPr>
                <w:rFonts w:ascii="Times New Roman" w:hAnsi="Times New Roman"/>
                <w:sz w:val="24"/>
              </w:rPr>
              <w:t>Pozri pokyny pre vzor C 34.08.</w:t>
            </w:r>
          </w:p>
        </w:tc>
      </w:tr>
    </w:tbl>
    <w:p w14:paraId="7128280E" w14:textId="77777777" w:rsidR="00EF74C7" w:rsidRPr="00CC28D3"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sidRPr="00CC28D3">
        <w:rPr>
          <w:rFonts w:ascii="Times New Roman" w:hAnsi="Times New Roman"/>
          <w:sz w:val="24"/>
        </w:rPr>
        <w:t>C 34.11 – Výkazy peňažných tokov hodnôt rizikovo vážených expozícií (RWEA) voči CCR podľa IMM</w:t>
      </w:r>
      <w:bookmarkEnd w:id="70"/>
      <w:bookmarkEnd w:id="71"/>
    </w:p>
    <w:p w14:paraId="2C95A3D6"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sidRPr="00CC28D3">
        <w:rPr>
          <w:rFonts w:ascii="Times New Roman" w:hAnsi="Times New Roman"/>
          <w:sz w:val="24"/>
        </w:rPr>
        <w:t>Všeobecné poznámky</w:t>
      </w:r>
      <w:bookmarkEnd w:id="72"/>
      <w:bookmarkEnd w:id="73"/>
    </w:p>
    <w:p w14:paraId="03BB213D" w14:textId="2BEC155F"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133</w:t>
      </w:r>
      <w:r w:rsidRPr="00CC28D3">
        <w:fldChar w:fldCharType="end"/>
      </w:r>
      <w:r w:rsidRPr="00CC28D3">
        <w:t>. Inštitúcie, ktoré používajú IMM na výpočet hodnôt rizikovo vážených expozícií pre všetky svoje expozície voči CCR alebo pre časť</w:t>
      </w:r>
      <w:r w:rsidR="00CC28D3">
        <w:t xml:space="preserve"> z </w:t>
      </w:r>
      <w:r w:rsidRPr="00CC28D3">
        <w:t>nich</w:t>
      </w:r>
      <w:r w:rsidR="00CC28D3">
        <w:t xml:space="preserve"> v </w:t>
      </w:r>
      <w:r w:rsidRPr="00CC28D3">
        <w:t>súlade</w:t>
      </w:r>
      <w:r w:rsidR="00CC28D3">
        <w:t xml:space="preserve"> s </w:t>
      </w:r>
      <w:r w:rsidRPr="00CC28D3">
        <w:t xml:space="preserve">treťou časťou hlavou II kapitolou 6 nariadenia (EÚ) </w:t>
      </w:r>
      <w:r w:rsidR="00CC28D3">
        <w:t>č. </w:t>
      </w:r>
      <w:r w:rsidRPr="00CC28D3">
        <w:t>575/2013, bez ohľadu na prístup pre kreditné riziko použitý na určenie zodpovedajúcich rizikových váh, vykazujú tento vzor</w:t>
      </w:r>
      <w:r w:rsidR="00CC28D3">
        <w:t xml:space="preserve"> s </w:t>
      </w:r>
      <w:r w:rsidRPr="00CC28D3">
        <w:t>výkazom peňažných tokov,</w:t>
      </w:r>
      <w:r w:rsidR="00CC28D3">
        <w:t xml:space="preserve"> v </w:t>
      </w:r>
      <w:r w:rsidRPr="00CC28D3">
        <w:t>ktorom sú vysvetlené zmeny hodnôt rizikovo vážených expozícií derivátov</w:t>
      </w:r>
      <w:r w:rsidR="00CC28D3">
        <w:t xml:space="preserve"> a </w:t>
      </w:r>
      <w:r w:rsidRPr="00CC28D3">
        <w:t>transakcií financovania prostredníctvom cenných papierov</w:t>
      </w:r>
      <w:r w:rsidR="00CC28D3">
        <w:t xml:space="preserve"> v </w:t>
      </w:r>
      <w:r w:rsidRPr="00CC28D3">
        <w:t>rámci IMM</w:t>
      </w:r>
      <w:r w:rsidR="00CC28D3">
        <w:t xml:space="preserve"> s </w:t>
      </w:r>
      <w:r w:rsidRPr="00CC28D3">
        <w:t>rozlíšením podľa kľúčových faktorov</w:t>
      </w:r>
      <w:r w:rsidR="00CC28D3">
        <w:t xml:space="preserve"> a </w:t>
      </w:r>
      <w:r w:rsidRPr="00CC28D3">
        <w:t>na základe racionálnych odhadov.</w:t>
      </w:r>
    </w:p>
    <w:p w14:paraId="680DF9FF" w14:textId="77777777" w:rsid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134</w:t>
      </w:r>
      <w:r w:rsidRPr="00CC28D3">
        <w:fldChar w:fldCharType="end"/>
      </w:r>
      <w:r w:rsidRPr="00CC28D3">
        <w:t>. Inštitúcie, ktoré tento vzor vykazujú štvrťročne, vypĺňajú len stĺpec 0010. Inštitúcie, ktoré tento vzor vykazujú polročne, vypĺňajú len stĺpec 0020</w:t>
      </w:r>
      <w:r w:rsidR="00CC28D3">
        <w:t>.</w:t>
      </w:r>
    </w:p>
    <w:p w14:paraId="618242D4" w14:textId="677DFE21" w:rsidR="00EF74C7" w:rsidRPr="00CC28D3" w:rsidRDefault="00EF74C7" w:rsidP="00EF74C7">
      <w:pPr>
        <w:pStyle w:val="InstructionsText2"/>
        <w:numPr>
          <w:ilvl w:val="0"/>
          <w:numId w:val="0"/>
        </w:numPr>
        <w:ind w:left="993"/>
      </w:pPr>
      <w:r w:rsidRPr="00CC28D3">
        <w:fldChar w:fldCharType="begin"/>
      </w:r>
      <w:r w:rsidRPr="00CC28D3">
        <w:instrText>seq paragraphs</w:instrText>
      </w:r>
      <w:r w:rsidRPr="00CC28D3">
        <w:fldChar w:fldCharType="separate"/>
      </w:r>
      <w:r w:rsidRPr="00CC28D3">
        <w:t>135</w:t>
      </w:r>
      <w:r w:rsidRPr="00CC28D3">
        <w:fldChar w:fldCharType="end"/>
      </w:r>
      <w:r w:rsidRPr="00CC28D3">
        <w:t>.</w:t>
      </w:r>
      <w:r w:rsidR="00CC28D3">
        <w:t xml:space="preserve"> Z </w:t>
      </w:r>
      <w:r w:rsidRPr="00CC28D3">
        <w:t xml:space="preserve">tohto vzoru sú vylúčené hodnoty rizikovo vážených expozícií pre expozície voči centrálnej protistrane [tretia časť hlava II kapitola 6 oddiel 9 nariadenia (EÚ) </w:t>
      </w:r>
      <w:r w:rsidR="00CC28D3">
        <w:t>č. </w:t>
      </w:r>
      <w:r w:rsidRPr="00CC28D3">
        <w:t>575/2013].</w:t>
      </w:r>
    </w:p>
    <w:p w14:paraId="5D4AACDC" w14:textId="77777777" w:rsidR="00EF74C7" w:rsidRPr="00CC28D3"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sidRPr="00CC28D3">
        <w:rPr>
          <w:rFonts w:ascii="Times New Roman" w:hAnsi="Times New Roman"/>
          <w:sz w:val="24"/>
        </w:rPr>
        <w:t>Pokyny týkajúce sa konkrétnych pozícií</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CC28D3" w:rsidRDefault="00EF74C7" w:rsidP="00822842">
            <w:pPr>
              <w:rPr>
                <w:rFonts w:ascii="Times New Roman" w:hAnsi="Times New Roman"/>
                <w:b/>
                <w:sz w:val="24"/>
              </w:rPr>
            </w:pPr>
            <w:r w:rsidRPr="00CC28D3">
              <w:rPr>
                <w:rFonts w:ascii="Times New Roman" w:hAnsi="Times New Roman"/>
                <w:b/>
                <w:sz w:val="24"/>
              </w:rPr>
              <w:t>Stĺpce</w:t>
            </w:r>
          </w:p>
        </w:tc>
      </w:tr>
      <w:tr w:rsidR="00EF74C7" w:rsidRPr="00CC28D3"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CC28D3" w:rsidRDefault="00EF74C7" w:rsidP="00822842">
            <w:pPr>
              <w:pStyle w:val="Applicationdirecte"/>
              <w:spacing w:before="0" w:after="0"/>
            </w:pPr>
            <w:r w:rsidRPr="00CC28D3">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HODNOTY RIZIKOVO VÁŽENÝCH EXPOZÍCIÍ</w:t>
            </w:r>
          </w:p>
          <w:p w14:paraId="60D5B192" w14:textId="61E94DA1" w:rsidR="00CC28D3" w:rsidRDefault="00EF74C7" w:rsidP="00822842">
            <w:pPr>
              <w:rPr>
                <w:rFonts w:ascii="Times New Roman" w:hAnsi="Times New Roman"/>
                <w:sz w:val="24"/>
              </w:rPr>
            </w:pPr>
            <w:r w:rsidRPr="00CC28D3">
              <w:rPr>
                <w:rFonts w:ascii="Times New Roman" w:hAnsi="Times New Roman"/>
                <w:sz w:val="24"/>
              </w:rPr>
              <w:t>Hodnoty rizikovo vážených expozícií</w:t>
            </w:r>
            <w:r w:rsidR="00CC28D3">
              <w:rPr>
                <w:rFonts w:ascii="Times New Roman" w:hAnsi="Times New Roman"/>
                <w:sz w:val="24"/>
              </w:rPr>
              <w:t xml:space="preserve"> v </w:t>
            </w:r>
            <w:r w:rsidRPr="00CC28D3">
              <w:rPr>
                <w:rFonts w:ascii="Times New Roman" w:hAnsi="Times New Roman"/>
                <w:sz w:val="24"/>
              </w:rPr>
              <w:t>zmysle vymedzenia</w:t>
            </w:r>
            <w:r w:rsidR="00CC28D3">
              <w:rPr>
                <w:rFonts w:ascii="Times New Roman" w:hAnsi="Times New Roman"/>
                <w:sz w:val="24"/>
              </w:rPr>
              <w:t xml:space="preserve"> v </w:t>
            </w:r>
            <w:r w:rsidRPr="00CC28D3">
              <w:rPr>
                <w:rFonts w:ascii="Times New Roman" w:hAnsi="Times New Roman"/>
                <w:sz w:val="24"/>
              </w:rPr>
              <w:t xml:space="preserve">článku 92 ods. 3 nariadenia (EÚ) </w:t>
            </w:r>
            <w:r w:rsidR="00CC28D3">
              <w:rPr>
                <w:rFonts w:ascii="Times New Roman" w:hAnsi="Times New Roman"/>
                <w:sz w:val="24"/>
              </w:rPr>
              <w:t>č. </w:t>
            </w:r>
            <w:r w:rsidRPr="00CC28D3">
              <w:rPr>
                <w:rFonts w:ascii="Times New Roman" w:hAnsi="Times New Roman"/>
                <w:sz w:val="24"/>
              </w:rPr>
              <w:t>575/2013 pre pozície, ktorých rizikové váhy sa odhadujú na základe požiadaviek stanovených</w:t>
            </w:r>
            <w:r w:rsidR="00CC28D3">
              <w:rPr>
                <w:rFonts w:ascii="Times New Roman" w:hAnsi="Times New Roman"/>
                <w:sz w:val="24"/>
              </w:rPr>
              <w:t xml:space="preserve"> v </w:t>
            </w:r>
            <w:r w:rsidRPr="00CC28D3">
              <w:rPr>
                <w:rFonts w:ascii="Times New Roman" w:hAnsi="Times New Roman"/>
                <w:sz w:val="24"/>
              </w:rPr>
              <w:t>tretej časti hlave II kapitolách 2</w:t>
            </w:r>
            <w:r w:rsidR="00CC28D3">
              <w:rPr>
                <w:rFonts w:ascii="Times New Roman" w:hAnsi="Times New Roman"/>
                <w:sz w:val="24"/>
              </w:rPr>
              <w:t xml:space="preserve"> a </w:t>
            </w:r>
            <w:r w:rsidRPr="00CC28D3">
              <w:rPr>
                <w:rFonts w:ascii="Times New Roman" w:hAnsi="Times New Roman"/>
                <w:sz w:val="24"/>
              </w:rPr>
              <w:t>3 uvedeného nariadenia</w:t>
            </w:r>
            <w:r w:rsidR="00CC28D3">
              <w:rPr>
                <w:rFonts w:ascii="Times New Roman" w:hAnsi="Times New Roman"/>
                <w:sz w:val="24"/>
              </w:rPr>
              <w:t xml:space="preserve"> a v </w:t>
            </w:r>
            <w:r w:rsidRPr="00CC28D3">
              <w:rPr>
                <w:rFonts w:ascii="Times New Roman" w:hAnsi="Times New Roman"/>
                <w:sz w:val="24"/>
              </w:rPr>
              <w:t>súvislosti</w:t>
            </w:r>
            <w:r w:rsidR="00CC28D3">
              <w:rPr>
                <w:rFonts w:ascii="Times New Roman" w:hAnsi="Times New Roman"/>
                <w:sz w:val="24"/>
              </w:rPr>
              <w:t xml:space="preserve"> s </w:t>
            </w:r>
            <w:r w:rsidRPr="00CC28D3">
              <w:rPr>
                <w:rFonts w:ascii="Times New Roman" w:hAnsi="Times New Roman"/>
                <w:sz w:val="24"/>
              </w:rPr>
              <w:t>ktorými sa inštitúcii povolilo vypočítavať hodnotu expozície pomocou IMM</w:t>
            </w:r>
            <w:r w:rsidR="00CC28D3">
              <w:rPr>
                <w:rFonts w:ascii="Times New Roman" w:hAnsi="Times New Roman"/>
                <w:sz w:val="24"/>
              </w:rPr>
              <w:t xml:space="preserve"> v </w:t>
            </w:r>
            <w:r w:rsidRPr="00CC28D3">
              <w:rPr>
                <w:rFonts w:ascii="Times New Roman" w:hAnsi="Times New Roman"/>
                <w:sz w:val="24"/>
              </w:rPr>
              <w:t>súlade</w:t>
            </w:r>
            <w:r w:rsidR="00CC28D3">
              <w:rPr>
                <w:rFonts w:ascii="Times New Roman" w:hAnsi="Times New Roman"/>
                <w:sz w:val="24"/>
              </w:rPr>
              <w:t xml:space="preserve"> s </w:t>
            </w:r>
            <w:r w:rsidRPr="00CC28D3">
              <w:rPr>
                <w:rFonts w:ascii="Times New Roman" w:hAnsi="Times New Roman"/>
                <w:sz w:val="24"/>
              </w:rPr>
              <w:t>treťou časťou hlavou II kapitolou 6 oddielom 6 uvedeného nariadenia</w:t>
            </w:r>
            <w:r w:rsidR="00CC28D3">
              <w:rPr>
                <w:rFonts w:ascii="Times New Roman" w:hAnsi="Times New Roman"/>
                <w:sz w:val="24"/>
              </w:rPr>
              <w:t>.</w:t>
            </w:r>
          </w:p>
          <w:p w14:paraId="1EFFB8C4" w14:textId="06292980" w:rsidR="00EF74C7" w:rsidRPr="00CC28D3" w:rsidRDefault="00EF74C7" w:rsidP="00822842">
            <w:pPr>
              <w:spacing w:before="60"/>
              <w:rPr>
                <w:rFonts w:ascii="Times New Roman" w:hAnsi="Times New Roman"/>
                <w:i/>
                <w:sz w:val="24"/>
              </w:rPr>
            </w:pPr>
            <w:r w:rsidRPr="00CC28D3">
              <w:rPr>
                <w:rFonts w:ascii="Times New Roman" w:hAnsi="Times New Roman"/>
                <w:sz w:val="24"/>
              </w:rPr>
              <w:lastRenderedPageBreak/>
              <w:t>Zohľadňujú sa faktory na podporu MSP</w:t>
            </w:r>
            <w:r w:rsidR="00CC28D3">
              <w:rPr>
                <w:rFonts w:ascii="Times New Roman" w:hAnsi="Times New Roman"/>
                <w:sz w:val="24"/>
              </w:rPr>
              <w:t xml:space="preserve"> a </w:t>
            </w:r>
            <w:r w:rsidRPr="00CC28D3">
              <w:rPr>
                <w:rFonts w:ascii="Times New Roman" w:hAnsi="Times New Roman"/>
                <w:sz w:val="24"/>
              </w:rPr>
              <w:t>infraštruktúry stanovené</w:t>
            </w:r>
            <w:r w:rsidR="00CC28D3">
              <w:rPr>
                <w:rFonts w:ascii="Times New Roman" w:hAnsi="Times New Roman"/>
                <w:sz w:val="24"/>
              </w:rPr>
              <w:t xml:space="preserve"> v </w:t>
            </w:r>
            <w:r w:rsidRPr="00CC28D3">
              <w:rPr>
                <w:rFonts w:ascii="Times New Roman" w:hAnsi="Times New Roman"/>
                <w:sz w:val="24"/>
              </w:rPr>
              <w:t>článkoch 501</w:t>
            </w:r>
            <w:r w:rsidR="00CC28D3">
              <w:rPr>
                <w:rFonts w:ascii="Times New Roman" w:hAnsi="Times New Roman"/>
                <w:sz w:val="24"/>
              </w:rPr>
              <w:t xml:space="preserve"> a </w:t>
            </w:r>
            <w:r w:rsidRPr="00CC28D3">
              <w:rPr>
                <w:rFonts w:ascii="Times New Roman" w:hAnsi="Times New Roman"/>
                <w:sz w:val="24"/>
              </w:rPr>
              <w:t xml:space="preserve">501a nariadenia (EÚ) </w:t>
            </w:r>
            <w:r w:rsidR="00CC28D3">
              <w:rPr>
                <w:rFonts w:ascii="Times New Roman" w:hAnsi="Times New Roman"/>
                <w:sz w:val="24"/>
              </w:rPr>
              <w:t>č. </w:t>
            </w:r>
            <w:r w:rsidRPr="00CC28D3">
              <w:rPr>
                <w:rFonts w:ascii="Times New Roman" w:hAnsi="Times New Roman"/>
                <w:sz w:val="24"/>
              </w:rPr>
              <w:t>575/2013.</w:t>
            </w:r>
          </w:p>
        </w:tc>
      </w:tr>
    </w:tbl>
    <w:p w14:paraId="2395318C" w14:textId="77777777" w:rsidR="00EF74C7" w:rsidRPr="00CC28D3"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C28D3"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CC28D3" w:rsidRDefault="00EF74C7" w:rsidP="00822842">
            <w:pPr>
              <w:rPr>
                <w:rFonts w:ascii="Times New Roman" w:hAnsi="Times New Roman"/>
                <w:b/>
                <w:sz w:val="24"/>
              </w:rPr>
            </w:pPr>
            <w:r w:rsidRPr="00CC28D3">
              <w:rPr>
                <w:rFonts w:ascii="Times New Roman" w:hAnsi="Times New Roman"/>
                <w:b/>
                <w:sz w:val="24"/>
              </w:rPr>
              <w:t>Riadky</w:t>
            </w:r>
          </w:p>
        </w:tc>
      </w:tr>
      <w:tr w:rsidR="00EF74C7" w:rsidRPr="00CC28D3"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CC28D3" w:rsidRDefault="00EF74C7" w:rsidP="00822842">
            <w:pPr>
              <w:pStyle w:val="Applicationdirecte"/>
              <w:spacing w:before="0" w:after="0"/>
            </w:pPr>
            <w:r w:rsidRPr="00CC28D3">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Hodnoty rizikovo vážených expozícií ku koncu predchádzajúceho obdobia vykazovania</w:t>
            </w:r>
          </w:p>
          <w:p w14:paraId="27A42CBA" w14:textId="77777777" w:rsidR="00EF74C7" w:rsidRPr="00CC28D3" w:rsidRDefault="00EF74C7" w:rsidP="00822842">
            <w:pPr>
              <w:spacing w:before="60"/>
              <w:rPr>
                <w:rFonts w:ascii="Times New Roman" w:hAnsi="Times New Roman"/>
                <w:sz w:val="24"/>
              </w:rPr>
            </w:pPr>
            <w:r w:rsidRPr="00CC28D3">
              <w:rPr>
                <w:rFonts w:ascii="Times New Roman" w:hAnsi="Times New Roman"/>
                <w:sz w:val="24"/>
              </w:rPr>
              <w:t>Hodnoty rizikovo vážených expozícií pre expozície voči CCR podľa IMM ku koncu predchádzajúceho obdobia vykazovania.</w:t>
            </w:r>
          </w:p>
        </w:tc>
      </w:tr>
      <w:tr w:rsidR="00EF74C7" w:rsidRPr="00CC28D3"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CC28D3" w:rsidRDefault="00EF74C7" w:rsidP="00822842">
            <w:pPr>
              <w:pStyle w:val="Applicationdirecte"/>
              <w:spacing w:before="0" w:after="0"/>
            </w:pPr>
            <w:r w:rsidRPr="00CC28D3">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Objem aktív</w:t>
            </w:r>
          </w:p>
          <w:p w14:paraId="18261438" w14:textId="168517A0" w:rsidR="00EF74C7" w:rsidRPr="00CC28D3" w:rsidRDefault="00EF74C7" w:rsidP="00822842">
            <w:pPr>
              <w:spacing w:before="60"/>
              <w:rPr>
                <w:rFonts w:ascii="Times New Roman" w:hAnsi="Times New Roman"/>
                <w:sz w:val="24"/>
              </w:rPr>
            </w:pPr>
            <w:r w:rsidRPr="00CC28D3">
              <w:rPr>
                <w:rFonts w:ascii="Times New Roman" w:hAnsi="Times New Roman"/>
                <w:sz w:val="24"/>
              </w:rPr>
              <w:t>Zmeny hodnôt rizikovo vážených expozícií (kladné alebo záporné)</w:t>
            </w:r>
            <w:r w:rsidR="00CC28D3">
              <w:rPr>
                <w:rFonts w:ascii="Times New Roman" w:hAnsi="Times New Roman"/>
                <w:sz w:val="24"/>
              </w:rPr>
              <w:t xml:space="preserve"> z </w:t>
            </w:r>
            <w:r w:rsidRPr="00CC28D3">
              <w:rPr>
                <w:rFonts w:ascii="Times New Roman" w:hAnsi="Times New Roman"/>
                <w:sz w:val="24"/>
              </w:rPr>
              <w:t>dôvodu zmien rozsahu</w:t>
            </w:r>
            <w:r w:rsidR="00CC28D3">
              <w:rPr>
                <w:rFonts w:ascii="Times New Roman" w:hAnsi="Times New Roman"/>
                <w:sz w:val="24"/>
              </w:rPr>
              <w:t xml:space="preserve"> a </w:t>
            </w:r>
            <w:r w:rsidRPr="00CC28D3">
              <w:rPr>
                <w:rFonts w:ascii="Times New Roman" w:hAnsi="Times New Roman"/>
                <w:sz w:val="24"/>
              </w:rPr>
              <w:t>zloženia knihy vyplývajúcich</w:t>
            </w:r>
            <w:r w:rsidR="00CC28D3">
              <w:rPr>
                <w:rFonts w:ascii="Times New Roman" w:hAnsi="Times New Roman"/>
                <w:sz w:val="24"/>
              </w:rPr>
              <w:t xml:space="preserve"> z </w:t>
            </w:r>
            <w:r w:rsidRPr="00CC28D3">
              <w:rPr>
                <w:rFonts w:ascii="Times New Roman" w:hAnsi="Times New Roman"/>
                <w:sz w:val="24"/>
              </w:rPr>
              <w:t>obvyklých obchodných činností (vrátane vzniku nových podnikov</w:t>
            </w:r>
            <w:r w:rsidR="00CC28D3">
              <w:rPr>
                <w:rFonts w:ascii="Times New Roman" w:hAnsi="Times New Roman"/>
                <w:sz w:val="24"/>
              </w:rPr>
              <w:t xml:space="preserve"> a </w:t>
            </w:r>
            <w:r w:rsidRPr="00CC28D3">
              <w:rPr>
                <w:rFonts w:ascii="Times New Roman" w:hAnsi="Times New Roman"/>
                <w:sz w:val="24"/>
              </w:rPr>
              <w:t>splatných expozícií), ale bez zmien rozsahu knihy</w:t>
            </w:r>
            <w:r w:rsidR="00CC28D3">
              <w:rPr>
                <w:rFonts w:ascii="Times New Roman" w:hAnsi="Times New Roman"/>
                <w:sz w:val="24"/>
              </w:rPr>
              <w:t xml:space="preserve"> z </w:t>
            </w:r>
            <w:r w:rsidRPr="00CC28D3">
              <w:rPr>
                <w:rFonts w:ascii="Times New Roman" w:hAnsi="Times New Roman"/>
                <w:sz w:val="24"/>
              </w:rPr>
              <w:t>dôvodu nadobudnutia alebo odpredaja subjektov.</w:t>
            </w:r>
          </w:p>
        </w:tc>
      </w:tr>
      <w:tr w:rsidR="00EF74C7" w:rsidRPr="00CC28D3"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CC28D3" w:rsidRDefault="00EF74C7" w:rsidP="00822842">
            <w:pPr>
              <w:pStyle w:val="Applicationdirecte"/>
              <w:spacing w:before="0" w:after="0"/>
            </w:pPr>
            <w:r w:rsidRPr="00CC28D3">
              <w:t>0030</w:t>
            </w:r>
          </w:p>
        </w:tc>
        <w:tc>
          <w:tcPr>
            <w:tcW w:w="7655" w:type="dxa"/>
            <w:tcBorders>
              <w:top w:val="single" w:sz="4" w:space="0" w:color="auto"/>
              <w:left w:val="single" w:sz="4" w:space="0" w:color="auto"/>
              <w:bottom w:val="single" w:sz="4" w:space="0" w:color="auto"/>
              <w:right w:val="single" w:sz="4" w:space="0" w:color="auto"/>
            </w:tcBorders>
            <w:vAlign w:val="center"/>
          </w:tcPr>
          <w:p w14:paraId="14D3491D" w14:textId="77777777" w:rsid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Kreditná kvalita protistrán</w:t>
            </w:r>
          </w:p>
          <w:p w14:paraId="250F3251" w14:textId="4141CFF2" w:rsidR="00EF74C7" w:rsidRPr="00CC28D3" w:rsidRDefault="00EF74C7" w:rsidP="00822842">
            <w:pPr>
              <w:spacing w:before="60"/>
              <w:rPr>
                <w:rFonts w:ascii="Times New Roman" w:hAnsi="Times New Roman"/>
                <w:sz w:val="24"/>
              </w:rPr>
            </w:pPr>
            <w:r w:rsidRPr="00CC28D3">
              <w:rPr>
                <w:rFonts w:ascii="Times New Roman" w:hAnsi="Times New Roman"/>
                <w:sz w:val="24"/>
              </w:rPr>
              <w:t>Zmeny hodnôt rizikovo vážených expozícií (kladné alebo záporné)</w:t>
            </w:r>
            <w:r w:rsidR="00CC28D3">
              <w:rPr>
                <w:rFonts w:ascii="Times New Roman" w:hAnsi="Times New Roman"/>
                <w:sz w:val="24"/>
              </w:rPr>
              <w:t xml:space="preserve"> z </w:t>
            </w:r>
            <w:r w:rsidRPr="00CC28D3">
              <w:rPr>
                <w:rFonts w:ascii="Times New Roman" w:hAnsi="Times New Roman"/>
                <w:sz w:val="24"/>
              </w:rPr>
              <w:t>dôvodu zmien</w:t>
            </w:r>
            <w:r w:rsidR="00CC28D3">
              <w:rPr>
                <w:rFonts w:ascii="Times New Roman" w:hAnsi="Times New Roman"/>
                <w:sz w:val="24"/>
              </w:rPr>
              <w:t xml:space="preserve"> v </w:t>
            </w:r>
            <w:r w:rsidRPr="00CC28D3">
              <w:rPr>
                <w:rFonts w:ascii="Times New Roman" w:hAnsi="Times New Roman"/>
                <w:sz w:val="24"/>
              </w:rPr>
              <w:t>hodnotenej kvalite protistrán inštitúcie, ktorá sa meria podľa rámca kreditného rizika, bez ohľadu na prístup, ktorý inštitúcia používa. Ak inštitúcia používa prístup IRB, tento riadok zahŕňa aj potenciálne zmeny hodnôt rizikovo vážených expozícií</w:t>
            </w:r>
            <w:r w:rsidR="00CC28D3">
              <w:rPr>
                <w:rFonts w:ascii="Times New Roman" w:hAnsi="Times New Roman"/>
                <w:sz w:val="24"/>
              </w:rPr>
              <w:t xml:space="preserve"> z </w:t>
            </w:r>
            <w:r w:rsidRPr="00CC28D3">
              <w:rPr>
                <w:rFonts w:ascii="Times New Roman" w:hAnsi="Times New Roman"/>
                <w:sz w:val="24"/>
              </w:rPr>
              <w:t>dôvodu modelov IRB.</w:t>
            </w:r>
          </w:p>
        </w:tc>
      </w:tr>
      <w:tr w:rsidR="00EF74C7" w:rsidRPr="00CC28D3"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CC28D3" w:rsidRDefault="00EF74C7" w:rsidP="00822842">
            <w:pPr>
              <w:pStyle w:val="Applicationdirecte"/>
              <w:spacing w:before="0" w:after="0"/>
            </w:pPr>
            <w:r w:rsidRPr="00CC28D3">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Aktualizácie modelu (len IMM)</w:t>
            </w:r>
          </w:p>
          <w:p w14:paraId="18D81B07" w14:textId="33A5647E" w:rsidR="00EF74C7" w:rsidRPr="00CC28D3" w:rsidRDefault="00EF74C7" w:rsidP="00822842">
            <w:pPr>
              <w:spacing w:before="60"/>
              <w:rPr>
                <w:rFonts w:ascii="Times New Roman" w:hAnsi="Times New Roman"/>
                <w:sz w:val="24"/>
              </w:rPr>
            </w:pPr>
            <w:r w:rsidRPr="00CC28D3">
              <w:rPr>
                <w:rFonts w:ascii="Times New Roman" w:hAnsi="Times New Roman"/>
                <w:sz w:val="24"/>
              </w:rPr>
              <w:t>Zmeny hodnôt rizikovo vážených expozícií (kladné alebo záporné)</w:t>
            </w:r>
            <w:r w:rsidR="00CC28D3">
              <w:rPr>
                <w:rFonts w:ascii="Times New Roman" w:hAnsi="Times New Roman"/>
                <w:sz w:val="24"/>
              </w:rPr>
              <w:t xml:space="preserve"> z </w:t>
            </w:r>
            <w:r w:rsidRPr="00CC28D3">
              <w:rPr>
                <w:rFonts w:ascii="Times New Roman" w:hAnsi="Times New Roman"/>
                <w:sz w:val="24"/>
              </w:rPr>
              <w:t>dôvodu zavádzania modelu, zmien</w:t>
            </w:r>
            <w:r w:rsidR="00CC28D3">
              <w:rPr>
                <w:rFonts w:ascii="Times New Roman" w:hAnsi="Times New Roman"/>
                <w:sz w:val="24"/>
              </w:rPr>
              <w:t xml:space="preserve"> v </w:t>
            </w:r>
            <w:r w:rsidRPr="00CC28D3">
              <w:rPr>
                <w:rFonts w:ascii="Times New Roman" w:hAnsi="Times New Roman"/>
                <w:sz w:val="24"/>
              </w:rPr>
              <w:t>rozsahu modelu alebo akýchkoľvek zmien zameraných na riešenie nedostatkov modelu.</w:t>
            </w:r>
          </w:p>
          <w:p w14:paraId="35919C0F" w14:textId="5B313316" w:rsidR="00EF74C7" w:rsidRPr="00CC28D3" w:rsidRDefault="00EF74C7" w:rsidP="00822842">
            <w:pPr>
              <w:spacing w:before="60"/>
              <w:rPr>
                <w:rFonts w:ascii="Times New Roman" w:hAnsi="Times New Roman"/>
                <w:sz w:val="24"/>
              </w:rPr>
            </w:pPr>
            <w:r w:rsidRPr="00CC28D3">
              <w:rPr>
                <w:rFonts w:ascii="Times New Roman" w:hAnsi="Times New Roman"/>
                <w:sz w:val="24"/>
              </w:rPr>
              <w:t>Tento riadok je určený len pre zmeny</w:t>
            </w:r>
            <w:r w:rsidR="00CC28D3">
              <w:rPr>
                <w:rFonts w:ascii="Times New Roman" w:hAnsi="Times New Roman"/>
                <w:sz w:val="24"/>
              </w:rPr>
              <w:t xml:space="preserve"> v </w:t>
            </w:r>
            <w:r w:rsidRPr="00CC28D3">
              <w:rPr>
                <w:rFonts w:ascii="Times New Roman" w:hAnsi="Times New Roman"/>
                <w:sz w:val="24"/>
              </w:rPr>
              <w:t>modeli IMM.</w:t>
            </w:r>
          </w:p>
        </w:tc>
      </w:tr>
      <w:tr w:rsidR="00EF74C7" w:rsidRPr="00CC28D3"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CC28D3" w:rsidRDefault="00EF74C7" w:rsidP="00822842">
            <w:pPr>
              <w:pStyle w:val="Applicationdirecte"/>
              <w:spacing w:before="0" w:after="0"/>
            </w:pPr>
            <w:r w:rsidRPr="00CC28D3">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065362F2"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Metodika</w:t>
            </w:r>
            <w:r w:rsidR="00CC28D3">
              <w:rPr>
                <w:rStyle w:val="InstructionsTabelleberschrift"/>
                <w:rFonts w:ascii="Times New Roman" w:hAnsi="Times New Roman"/>
                <w:sz w:val="24"/>
              </w:rPr>
              <w:t xml:space="preserve"> a </w:t>
            </w:r>
            <w:r w:rsidRPr="00CC28D3">
              <w:rPr>
                <w:rStyle w:val="InstructionsTabelleberschrift"/>
                <w:rFonts w:ascii="Times New Roman" w:hAnsi="Times New Roman"/>
                <w:sz w:val="24"/>
              </w:rPr>
              <w:t>politika (len IMM)</w:t>
            </w:r>
          </w:p>
          <w:p w14:paraId="492776FC" w14:textId="6F256B51" w:rsidR="00EF74C7" w:rsidRPr="00CC28D3" w:rsidRDefault="00EF74C7" w:rsidP="00822842">
            <w:pPr>
              <w:spacing w:before="60"/>
              <w:rPr>
                <w:rFonts w:ascii="Times New Roman" w:hAnsi="Times New Roman"/>
                <w:sz w:val="24"/>
              </w:rPr>
            </w:pPr>
            <w:r w:rsidRPr="00CC28D3">
              <w:rPr>
                <w:rFonts w:ascii="Times New Roman" w:hAnsi="Times New Roman"/>
                <w:sz w:val="24"/>
              </w:rPr>
              <w:t>Zmeny hodnôt rizikovo vážených expozícií (kladné alebo záporné)</w:t>
            </w:r>
            <w:r w:rsidR="00CC28D3">
              <w:rPr>
                <w:rFonts w:ascii="Times New Roman" w:hAnsi="Times New Roman"/>
                <w:sz w:val="24"/>
              </w:rPr>
              <w:t xml:space="preserve"> z </w:t>
            </w:r>
            <w:r w:rsidRPr="00CC28D3">
              <w:rPr>
                <w:rFonts w:ascii="Times New Roman" w:hAnsi="Times New Roman"/>
                <w:sz w:val="24"/>
              </w:rPr>
              <w:t>dôvodu zmien</w:t>
            </w:r>
            <w:r w:rsidR="00CC28D3">
              <w:rPr>
                <w:rFonts w:ascii="Times New Roman" w:hAnsi="Times New Roman"/>
                <w:sz w:val="24"/>
              </w:rPr>
              <w:t xml:space="preserve"> v </w:t>
            </w:r>
            <w:r w:rsidRPr="00CC28D3">
              <w:rPr>
                <w:rFonts w:ascii="Times New Roman" w:hAnsi="Times New Roman"/>
                <w:sz w:val="24"/>
              </w:rPr>
              <w:t>metodike výpočtov, ktoré boli vyvolané zmenami regulačnej politiky, ako napríklad novými právnymi predpismi (len</w:t>
            </w:r>
            <w:r w:rsidR="00CC28D3">
              <w:rPr>
                <w:rFonts w:ascii="Times New Roman" w:hAnsi="Times New Roman"/>
                <w:sz w:val="24"/>
              </w:rPr>
              <w:t xml:space="preserve"> v </w:t>
            </w:r>
            <w:r w:rsidRPr="00CC28D3">
              <w:rPr>
                <w:rFonts w:ascii="Times New Roman" w:hAnsi="Times New Roman"/>
                <w:sz w:val="24"/>
              </w:rPr>
              <w:t>modeli IMM)</w:t>
            </w:r>
          </w:p>
        </w:tc>
      </w:tr>
      <w:tr w:rsidR="00EF74C7" w:rsidRPr="00CC28D3"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CC28D3" w:rsidRDefault="00EF74C7" w:rsidP="00822842">
            <w:pPr>
              <w:pStyle w:val="Applicationdirecte"/>
              <w:spacing w:before="0" w:after="0"/>
            </w:pPr>
            <w:r w:rsidRPr="00CC28D3">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62BB1985"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Nadobudnutia</w:t>
            </w:r>
            <w:r w:rsidR="00CC28D3">
              <w:rPr>
                <w:rStyle w:val="InstructionsTabelleberschrift"/>
                <w:rFonts w:ascii="Times New Roman" w:hAnsi="Times New Roman"/>
                <w:sz w:val="24"/>
              </w:rPr>
              <w:t xml:space="preserve"> a </w:t>
            </w:r>
            <w:r w:rsidRPr="00CC28D3">
              <w:rPr>
                <w:rStyle w:val="InstructionsTabelleberschrift"/>
                <w:rFonts w:ascii="Times New Roman" w:hAnsi="Times New Roman"/>
                <w:sz w:val="24"/>
              </w:rPr>
              <w:t>odpredaje</w:t>
            </w:r>
          </w:p>
          <w:p w14:paraId="556F6F98" w14:textId="22FB42B4" w:rsidR="00EF74C7" w:rsidRPr="00CC28D3" w:rsidRDefault="00EF74C7" w:rsidP="00822842">
            <w:pPr>
              <w:spacing w:before="60"/>
              <w:rPr>
                <w:rFonts w:ascii="Times New Roman" w:hAnsi="Times New Roman"/>
                <w:sz w:val="24"/>
              </w:rPr>
            </w:pPr>
            <w:r w:rsidRPr="00CC28D3">
              <w:rPr>
                <w:rFonts w:ascii="Times New Roman" w:hAnsi="Times New Roman"/>
                <w:sz w:val="24"/>
              </w:rPr>
              <w:t>Zmeny hodnôt rizikovo vážených expozícií (kladné alebo záporné)</w:t>
            </w:r>
            <w:r w:rsidR="00CC28D3">
              <w:rPr>
                <w:rFonts w:ascii="Times New Roman" w:hAnsi="Times New Roman"/>
                <w:sz w:val="24"/>
              </w:rPr>
              <w:t xml:space="preserve"> z </w:t>
            </w:r>
            <w:r w:rsidRPr="00CC28D3">
              <w:rPr>
                <w:rFonts w:ascii="Times New Roman" w:hAnsi="Times New Roman"/>
                <w:sz w:val="24"/>
              </w:rPr>
              <w:t>dôvodu zmien</w:t>
            </w:r>
            <w:r w:rsidR="00CC28D3">
              <w:rPr>
                <w:rFonts w:ascii="Times New Roman" w:hAnsi="Times New Roman"/>
                <w:sz w:val="24"/>
              </w:rPr>
              <w:t xml:space="preserve"> v </w:t>
            </w:r>
            <w:r w:rsidRPr="00CC28D3">
              <w:rPr>
                <w:rFonts w:ascii="Times New Roman" w:hAnsi="Times New Roman"/>
                <w:sz w:val="24"/>
              </w:rPr>
              <w:t>rozsahu kníh</w:t>
            </w:r>
            <w:r w:rsidR="00CC28D3">
              <w:rPr>
                <w:rFonts w:ascii="Times New Roman" w:hAnsi="Times New Roman"/>
                <w:sz w:val="24"/>
              </w:rPr>
              <w:t xml:space="preserve"> v </w:t>
            </w:r>
            <w:r w:rsidRPr="00CC28D3">
              <w:rPr>
                <w:rFonts w:ascii="Times New Roman" w:hAnsi="Times New Roman"/>
                <w:sz w:val="24"/>
              </w:rPr>
              <w:t>dôsledku nadobudnutí subjektov</w:t>
            </w:r>
            <w:r w:rsidR="00CC28D3">
              <w:rPr>
                <w:rFonts w:ascii="Times New Roman" w:hAnsi="Times New Roman"/>
                <w:sz w:val="24"/>
              </w:rPr>
              <w:t xml:space="preserve"> a </w:t>
            </w:r>
            <w:r w:rsidRPr="00CC28D3">
              <w:rPr>
                <w:rFonts w:ascii="Times New Roman" w:hAnsi="Times New Roman"/>
                <w:sz w:val="24"/>
              </w:rPr>
              <w:t>ich odpredaja.</w:t>
            </w:r>
          </w:p>
        </w:tc>
      </w:tr>
      <w:tr w:rsidR="00EF74C7" w:rsidRPr="00CC28D3"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CC28D3" w:rsidRDefault="00EF74C7" w:rsidP="00822842">
            <w:pPr>
              <w:pStyle w:val="Applicationdirecte"/>
              <w:spacing w:before="0" w:after="0"/>
            </w:pPr>
            <w:r w:rsidRPr="00CC28D3">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Pohyby výmenných kurzov</w:t>
            </w:r>
          </w:p>
          <w:p w14:paraId="29E3F8C8" w14:textId="4D8A0954" w:rsidR="00EF74C7" w:rsidRPr="00CC28D3" w:rsidRDefault="00EF74C7" w:rsidP="00822842">
            <w:pPr>
              <w:spacing w:before="60"/>
              <w:rPr>
                <w:rFonts w:ascii="Times New Roman" w:hAnsi="Times New Roman"/>
                <w:sz w:val="24"/>
              </w:rPr>
            </w:pPr>
            <w:r w:rsidRPr="00CC28D3">
              <w:rPr>
                <w:rFonts w:ascii="Times New Roman" w:hAnsi="Times New Roman"/>
                <w:sz w:val="24"/>
              </w:rPr>
              <w:t>Zmeny hodnôt rizikovo vážených expozícií (kladné alebo záporné)</w:t>
            </w:r>
            <w:r w:rsidR="00CC28D3">
              <w:rPr>
                <w:rFonts w:ascii="Times New Roman" w:hAnsi="Times New Roman"/>
                <w:sz w:val="24"/>
              </w:rPr>
              <w:t xml:space="preserve"> z </w:t>
            </w:r>
            <w:r w:rsidRPr="00CC28D3">
              <w:rPr>
                <w:rFonts w:ascii="Times New Roman" w:hAnsi="Times New Roman"/>
                <w:sz w:val="24"/>
              </w:rPr>
              <w:t>dôvodu zmien vyplývajúcich</w:t>
            </w:r>
            <w:r w:rsidR="00CC28D3">
              <w:rPr>
                <w:rFonts w:ascii="Times New Roman" w:hAnsi="Times New Roman"/>
                <w:sz w:val="24"/>
              </w:rPr>
              <w:t xml:space="preserve"> z </w:t>
            </w:r>
            <w:r w:rsidRPr="00CC28D3">
              <w:rPr>
                <w:rFonts w:ascii="Times New Roman" w:hAnsi="Times New Roman"/>
                <w:sz w:val="24"/>
              </w:rPr>
              <w:t>pohybov</w:t>
            </w:r>
            <w:r w:rsidR="00CC28D3">
              <w:rPr>
                <w:rFonts w:ascii="Times New Roman" w:hAnsi="Times New Roman"/>
                <w:sz w:val="24"/>
              </w:rPr>
              <w:t xml:space="preserve"> v </w:t>
            </w:r>
            <w:r w:rsidRPr="00CC28D3">
              <w:rPr>
                <w:rFonts w:ascii="Times New Roman" w:hAnsi="Times New Roman"/>
                <w:sz w:val="24"/>
              </w:rPr>
              <w:t xml:space="preserve">prepočte cudzích mien. </w:t>
            </w:r>
          </w:p>
        </w:tc>
      </w:tr>
      <w:tr w:rsidR="00EF74C7" w:rsidRPr="00CC28D3"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CC28D3" w:rsidRDefault="00EF74C7" w:rsidP="00822842">
            <w:pPr>
              <w:pStyle w:val="Applicationdirecte"/>
              <w:spacing w:before="0" w:after="0"/>
            </w:pPr>
            <w:r w:rsidRPr="00CC28D3">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Iné</w:t>
            </w:r>
          </w:p>
          <w:p w14:paraId="0BAC5EB4" w14:textId="145050CC" w:rsidR="00EF74C7" w:rsidRPr="00CC28D3" w:rsidRDefault="00EF74C7" w:rsidP="00822842">
            <w:pPr>
              <w:spacing w:before="60"/>
              <w:rPr>
                <w:rFonts w:ascii="Times New Roman" w:hAnsi="Times New Roman"/>
                <w:sz w:val="24"/>
              </w:rPr>
            </w:pPr>
            <w:r w:rsidRPr="00CC28D3">
              <w:rPr>
                <w:rFonts w:ascii="Times New Roman" w:hAnsi="Times New Roman"/>
                <w:sz w:val="24"/>
              </w:rPr>
              <w:lastRenderedPageBreak/>
              <w:t>Táto kategória sa používa na zachytenie zmien hodnôt rizikovo vážených expozícií (kladných alebo záporných), ktoré nemožno priradiť</w:t>
            </w:r>
            <w:r w:rsidR="00CC28D3">
              <w:rPr>
                <w:rFonts w:ascii="Times New Roman" w:hAnsi="Times New Roman"/>
                <w:sz w:val="24"/>
              </w:rPr>
              <w:t xml:space="preserve"> k </w:t>
            </w:r>
            <w:r w:rsidRPr="00CC28D3">
              <w:rPr>
                <w:rFonts w:ascii="Times New Roman" w:hAnsi="Times New Roman"/>
                <w:sz w:val="24"/>
              </w:rPr>
              <w:t xml:space="preserve">uvedeným kategóriám. </w:t>
            </w:r>
          </w:p>
        </w:tc>
      </w:tr>
      <w:tr w:rsidR="00EF74C7" w:rsidRPr="00CC28D3"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CC28D3" w:rsidRDefault="00EF74C7" w:rsidP="00822842">
            <w:pPr>
              <w:pStyle w:val="Applicationdirecte"/>
              <w:spacing w:before="0" w:after="0"/>
            </w:pPr>
            <w:r w:rsidRPr="00CC28D3">
              <w:lastRenderedPageBreak/>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CC28D3" w:rsidRDefault="00EF74C7" w:rsidP="00822842">
            <w:pPr>
              <w:spacing w:beforeLines="60" w:before="144" w:afterLines="60" w:after="144"/>
              <w:rPr>
                <w:rStyle w:val="InstructionsTabelleberschrift"/>
                <w:rFonts w:ascii="Times New Roman" w:hAnsi="Times New Roman"/>
                <w:sz w:val="24"/>
              </w:rPr>
            </w:pPr>
            <w:r w:rsidRPr="00CC28D3">
              <w:rPr>
                <w:rStyle w:val="InstructionsTabelleberschrift"/>
                <w:rFonts w:ascii="Times New Roman" w:hAnsi="Times New Roman"/>
                <w:sz w:val="24"/>
              </w:rPr>
              <w:t>Hodnoty rizikovo vážených expozícií ku koncu bežného obdobia vykazovania</w:t>
            </w:r>
          </w:p>
          <w:p w14:paraId="51365175" w14:textId="77777777" w:rsidR="00EF74C7" w:rsidRPr="00CC28D3" w:rsidRDefault="00EF74C7" w:rsidP="00822842">
            <w:pPr>
              <w:spacing w:before="60"/>
              <w:rPr>
                <w:rFonts w:ascii="Times New Roman" w:hAnsi="Times New Roman"/>
                <w:i/>
                <w:sz w:val="24"/>
              </w:rPr>
            </w:pPr>
            <w:r w:rsidRPr="00CC28D3">
              <w:rPr>
                <w:rFonts w:ascii="Times New Roman" w:hAnsi="Times New Roman"/>
                <w:sz w:val="24"/>
              </w:rPr>
              <w:t>Hodnoty rizikovo vážených expozícií pre expozície voči CCR podľa IMM ku koncu bežného obdobia vykazovania.</w:t>
            </w:r>
          </w:p>
        </w:tc>
      </w:tr>
    </w:tbl>
    <w:p w14:paraId="46880A2A" w14:textId="77777777" w:rsidR="00EF74C7" w:rsidRPr="00CC28D3" w:rsidRDefault="00EF74C7"/>
    <w:p w14:paraId="0CA113AF" w14:textId="77777777" w:rsidR="00EF74C7" w:rsidRPr="00CC28D3" w:rsidRDefault="00EF74C7"/>
    <w:sectPr w:rsidR="00EF74C7" w:rsidRPr="00CC28D3">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AB679" w14:textId="77777777" w:rsidR="008C2096" w:rsidRDefault="008C2096" w:rsidP="00E26A90">
      <w:pPr>
        <w:spacing w:after="0"/>
      </w:pPr>
      <w:r>
        <w:separator/>
      </w:r>
    </w:p>
  </w:endnote>
  <w:endnote w:type="continuationSeparator" w:id="0">
    <w:p w14:paraId="0FD542DF" w14:textId="77777777" w:rsidR="008C2096" w:rsidRDefault="008C2096"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90A31" w14:textId="77777777" w:rsidR="00D21B28" w:rsidRDefault="00D21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76FC" w14:textId="77777777" w:rsidR="00D21B28" w:rsidRDefault="00D21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25CD9" w14:textId="77777777" w:rsidR="00D21B28" w:rsidRDefault="00D21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7B45D" w14:textId="77777777" w:rsidR="008C2096" w:rsidRDefault="008C2096" w:rsidP="00E26A90">
      <w:pPr>
        <w:spacing w:after="0"/>
      </w:pPr>
      <w:r>
        <w:separator/>
      </w:r>
    </w:p>
  </w:footnote>
  <w:footnote w:type="continuationSeparator" w:id="0">
    <w:p w14:paraId="43AE41E1" w14:textId="77777777" w:rsidR="008C2096" w:rsidRDefault="008C2096"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241B9282">
              <wp:simplePos x="914400" y="448733"/>
              <wp:positionH relativeFrom="page">
                <wp:align>left</wp:align>
              </wp:positionH>
              <wp:positionV relativeFrom="page">
                <wp:align>top</wp:align>
              </wp:positionV>
              <wp:extent cx="443865" cy="443865"/>
              <wp:effectExtent l="0" t="0" r="3175" b="4445"/>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612FEB23" w:rsidR="00E26A90" w:rsidRPr="00E26A90" w:rsidRDefault="00D21B28" w:rsidP="00E26A90">
                          <w:pPr>
                            <w:spacing w:after="0"/>
                            <w:rPr>
                              <w:rFonts w:ascii="Calibri" w:eastAsia="Calibri" w:hAnsi="Calibri" w:cs="Calibri"/>
                              <w:noProof/>
                              <w:color w:val="000000"/>
                              <w:sz w:val="24"/>
                            </w:rPr>
                          </w:pPr>
                          <w:r w:rsidRPr="00D21B28">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612FEB23" w:rsidR="00E26A90" w:rsidRPr="00E26A90" w:rsidRDefault="00D21B28" w:rsidP="00E26A90">
                    <w:pPr>
                      <w:spacing w:after="0"/>
                      <w:rPr>
                        <w:rFonts w:ascii="Calibri" w:eastAsia="Calibri" w:hAnsi="Calibri" w:cs="Calibri"/>
                        <w:noProof/>
                        <w:color w:val="000000"/>
                        <w:sz w:val="24"/>
                      </w:rPr>
                    </w:pPr>
                    <w:r w:rsidRPr="00D21B28">
                      <w:rPr>
                        <w:rFonts w:ascii="Calibri" w:hAnsi="Calibri"/>
                        <w:color w:val="000000"/>
                        <w:sz w:val="24"/>
                      </w:rPr>
                      <w:t>EBA –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3A3E51"/>
    <w:rsid w:val="0044691C"/>
    <w:rsid w:val="005500E8"/>
    <w:rsid w:val="00631623"/>
    <w:rsid w:val="00632962"/>
    <w:rsid w:val="007916EF"/>
    <w:rsid w:val="00793BDE"/>
    <w:rsid w:val="007D0477"/>
    <w:rsid w:val="007D3B3D"/>
    <w:rsid w:val="008C2096"/>
    <w:rsid w:val="00A6002C"/>
    <w:rsid w:val="00B5223F"/>
    <w:rsid w:val="00B71F25"/>
    <w:rsid w:val="00BD63AA"/>
    <w:rsid w:val="00CC28D3"/>
    <w:rsid w:val="00D21B28"/>
    <w:rsid w:val="00D57F80"/>
    <w:rsid w:val="00DE7FB9"/>
    <w:rsid w:val="00E26A90"/>
    <w:rsid w:val="00EF07A1"/>
    <w:rsid w:val="00EF74C7"/>
    <w:rsid w:val="00F935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sk-SK"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sk-SK"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sk-SK"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sk-SK"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sk-SK"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sk-SK"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sk-S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sk-SK"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sk-SK"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sk-SK"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sk-SK"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sk-SK"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sk-SK"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sk-SK"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sk-SK"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sk-SK"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sk-SK"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sk-SK"/>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sk-SK"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iso.org/iso-4217-currency-codes.htm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AAA889-89A3-4853-9E82-2E4BA02D99EB}"/>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1</Pages>
  <Words>7497</Words>
  <Characters>43936</Characters>
  <Application>Microsoft Office Word</Application>
  <DocSecurity>0</DocSecurity>
  <Lines>1156</Lines>
  <Paragraphs>704</Paragraphs>
  <ScaleCrop>false</ScaleCrop>
  <Company>European Banking Authority</Company>
  <LinksUpToDate>false</LinksUpToDate>
  <CharactersWithSpaces>50729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SKYPALA Vlastimil (DGT)</cp:lastModifiedBy>
  <cp:revision>9</cp:revision>
  <dcterms:created xsi:type="dcterms:W3CDTF">2024-06-19T16:03:00Z</dcterms:created>
  <dcterms:modified xsi:type="dcterms:W3CDTF">2025-01-27T06:40:00Z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2025-01-23T08:44:38Z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84663fce-8fae-45c9-a446-f708e73619f7</vt:lpwstr>
  </property>
  <property fmtid="{D5CDD505-2E9C-101B-9397-08002B2CF9AE}" pid="12" name="MSIP_Label_6bd9ddd1-4d20-43f6-abfa-fc3c07406f94_ContentBits">
    <vt:lpwstr>0</vt:lpwstr>
  </property>
</Properties>
</file>